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D8769A" w14:textId="77777777" w:rsidR="00253185" w:rsidRPr="007B117A" w:rsidRDefault="00253185" w:rsidP="0025318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074ACDA9" w14:textId="77777777" w:rsidR="00933F00" w:rsidRDefault="00933F00" w:rsidP="00CD2B7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pt-BR"/>
        </w:rPr>
      </w:pPr>
      <w:r w:rsidRPr="00933F00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DEPOSIÇÃO DE C3B EM </w:t>
      </w:r>
      <w:commentRangeStart w:id="0"/>
      <w:r w:rsidRPr="00933F00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STREPTOCOCCUS PNEUMONIAE </w:t>
      </w:r>
      <w:commentRangeEnd w:id="0"/>
      <w:r w:rsidR="00BA7B12">
        <w:rPr>
          <w:rStyle w:val="Refdecomentrio"/>
        </w:rPr>
        <w:commentReference w:id="0"/>
      </w:r>
      <w:r w:rsidRPr="00933F00">
        <w:rPr>
          <w:rFonts w:ascii="Times New Roman" w:eastAsia="Times New Roman" w:hAnsi="Times New Roman"/>
          <w:b/>
          <w:bCs/>
          <w:sz w:val="24"/>
          <w:szCs w:val="24"/>
          <w:lang w:eastAsia="pt-BR"/>
        </w:rPr>
        <w:t xml:space="preserve">NA PRESENÇA DE ANTICORPOS ESPECÍFICOS </w:t>
      </w:r>
    </w:p>
    <w:p w14:paraId="5BC08C75" w14:textId="77777777" w:rsidR="00933F00" w:rsidRPr="008A39B4" w:rsidRDefault="00933F00" w:rsidP="00933F00">
      <w:pPr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</w:p>
    <w:p w14:paraId="04D949F6" w14:textId="77777777" w:rsidR="00933F00" w:rsidRDefault="00933F00" w:rsidP="00933F00">
      <w:pPr>
        <w:spacing w:after="0" w:line="240" w:lineRule="auto"/>
        <w:jc w:val="center"/>
        <w:rPr>
          <w:rFonts w:ascii="Times New Roman" w:hAnsi="Times New Roman"/>
          <w:bCs/>
          <w:i/>
          <w:color w:val="FF0000"/>
          <w:sz w:val="24"/>
          <w:szCs w:val="24"/>
          <w:lang w:val="en-US"/>
        </w:rPr>
      </w:pPr>
      <w:r w:rsidRPr="00933F00">
        <w:rPr>
          <w:rFonts w:ascii="Times New Roman" w:hAnsi="Times New Roman"/>
          <w:bCs/>
          <w:i/>
          <w:sz w:val="24"/>
          <w:szCs w:val="24"/>
          <w:lang w:val="en-US"/>
        </w:rPr>
        <w:t>C3B DEPOSITION IN STREPTOCOCCUS PNEUMONIAE IN THE PRESENCE OF SPECIFIC ANTIBODIES</w:t>
      </w:r>
    </w:p>
    <w:p w14:paraId="1EF71399" w14:textId="77777777" w:rsidR="005D1AC9" w:rsidRPr="00933F00" w:rsidRDefault="005D1AC9" w:rsidP="00933F00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933F00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07B79506" w14:textId="158213B2" w:rsidR="00CD2B7F" w:rsidRPr="00CD2B7F" w:rsidRDefault="00933F00" w:rsidP="00CD2B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GUERRA</w:t>
      </w:r>
      <w:r w:rsidR="00CD2B7F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Maria Eduarda Souza</w:t>
      </w:r>
      <w:r w:rsidR="00892E16" w:rsidRPr="00892E16">
        <w:rPr>
          <w:rFonts w:ascii="Times New Roman" w:hAnsi="Times New Roman"/>
          <w:sz w:val="24"/>
          <w:szCs w:val="24"/>
          <w:vertAlign w:val="superscript"/>
        </w:rPr>
        <w:t>1</w:t>
      </w:r>
      <w:r w:rsidR="00CD2B7F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DARRIEUX</w:t>
      </w:r>
      <w:r w:rsidR="00CD2B7F">
        <w:rPr>
          <w:rFonts w:ascii="Times New Roman" w:hAnsi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/>
          <w:sz w:val="24"/>
          <w:szCs w:val="24"/>
        </w:rPr>
        <w:t>Michelle</w:t>
      </w:r>
      <w:r w:rsidR="00AE349D">
        <w:rPr>
          <w:rFonts w:ascii="Times New Roman" w:hAnsi="Times New Roman"/>
          <w:color w:val="FF0066"/>
          <w:sz w:val="24"/>
          <w:szCs w:val="24"/>
        </w:rPr>
        <w:t xml:space="preserve"> </w:t>
      </w:r>
      <w:r w:rsidR="00CD2B7F">
        <w:rPr>
          <w:rFonts w:ascii="Times New Roman" w:hAnsi="Times New Roman"/>
          <w:sz w:val="24"/>
          <w:szCs w:val="24"/>
        </w:rPr>
        <w:t>;</w:t>
      </w:r>
      <w:proofErr w:type="gramEnd"/>
      <w:r w:rsidR="00CD2B7F">
        <w:rPr>
          <w:rFonts w:ascii="Times New Roman" w:hAnsi="Times New Roman"/>
          <w:sz w:val="24"/>
          <w:szCs w:val="24"/>
        </w:rPr>
        <w:t xml:space="preserve"> </w:t>
      </w:r>
    </w:p>
    <w:p w14:paraId="28DCC2C0" w14:textId="77777777" w:rsidR="00CD2B7F" w:rsidRPr="00CD2B7F" w:rsidRDefault="00CD2B7F" w:rsidP="00CD2B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D2B7F">
        <w:rPr>
          <w:rFonts w:ascii="Times New Roman" w:hAnsi="Times New Roman"/>
          <w:sz w:val="24"/>
          <w:szCs w:val="24"/>
          <w:vertAlign w:val="superscript"/>
        </w:rPr>
        <w:t>1</w:t>
      </w:r>
      <w:r w:rsidR="00EC034F">
        <w:rPr>
          <w:rFonts w:ascii="Times New Roman" w:hAnsi="Times New Roman"/>
          <w:sz w:val="24"/>
          <w:szCs w:val="24"/>
        </w:rPr>
        <w:t xml:space="preserve">Graduando do Curso de </w:t>
      </w:r>
      <w:r w:rsidR="00933F00">
        <w:rPr>
          <w:rFonts w:ascii="Times New Roman" w:hAnsi="Times New Roman"/>
          <w:sz w:val="24"/>
          <w:szCs w:val="24"/>
        </w:rPr>
        <w:t>Biomedicina</w:t>
      </w:r>
      <w:r w:rsidR="001D7A45">
        <w:rPr>
          <w:rFonts w:ascii="Times New Roman" w:hAnsi="Times New Roman"/>
          <w:sz w:val="24"/>
          <w:szCs w:val="24"/>
        </w:rPr>
        <w:t xml:space="preserve"> – Universidade São Francisco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 w:rsidR="00EC034F" w:rsidRPr="00EC034F">
        <w:rPr>
          <w:rFonts w:ascii="Times New Roman" w:hAnsi="Times New Roman"/>
          <w:color w:val="FF0000"/>
          <w:sz w:val="24"/>
          <w:szCs w:val="24"/>
        </w:rPr>
        <w:t>:</w:t>
      </w:r>
      <w:r w:rsidR="00EC034F">
        <w:rPr>
          <w:rFonts w:ascii="Times New Roman" w:hAnsi="Times New Roman"/>
          <w:sz w:val="24"/>
          <w:szCs w:val="24"/>
        </w:rPr>
        <w:t xml:space="preserve"> </w:t>
      </w:r>
      <w:r w:rsidR="001D7A45">
        <w:rPr>
          <w:rFonts w:ascii="Times New Roman" w:hAnsi="Times New Roman"/>
          <w:sz w:val="24"/>
          <w:szCs w:val="24"/>
        </w:rPr>
        <w:t>Docente</w:t>
      </w:r>
      <w:r w:rsidR="00EC034F">
        <w:rPr>
          <w:rFonts w:ascii="Times New Roman" w:hAnsi="Times New Roman"/>
          <w:sz w:val="24"/>
          <w:szCs w:val="24"/>
        </w:rPr>
        <w:t xml:space="preserve"> do Programa de Pós-graduação </w:t>
      </w:r>
      <w:r w:rsidR="001D7A45">
        <w:rPr>
          <w:rFonts w:ascii="Times New Roman" w:hAnsi="Times New Roman"/>
          <w:sz w:val="24"/>
          <w:szCs w:val="24"/>
        </w:rPr>
        <w:t>em Ciências da Saúde – Universidade São Francisco</w:t>
      </w:r>
      <w:r w:rsidR="00EC034F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82802BD" w14:textId="77777777" w:rsidR="005D1AC9" w:rsidRPr="001D7A45" w:rsidRDefault="00333688" w:rsidP="005D1AC9">
      <w:pPr>
        <w:pStyle w:val="Corpodetexto"/>
        <w:jc w:val="center"/>
        <w:rPr>
          <w:rFonts w:ascii="Times New Roman" w:eastAsia="Courier New" w:hAnsi="Times New Roman"/>
          <w:sz w:val="24"/>
          <w:szCs w:val="24"/>
          <w:u w:val="single"/>
          <w:lang w:val="pt-BR"/>
        </w:rPr>
      </w:pPr>
      <w:r>
        <w:rPr>
          <w:rFonts w:ascii="Times New Roman" w:hAnsi="Times New Roman"/>
          <w:sz w:val="24"/>
          <w:szCs w:val="24"/>
          <w:u w:val="single"/>
          <w:lang w:val="pt-BR"/>
        </w:rPr>
        <w:t>m</w:t>
      </w:r>
      <w:r w:rsidR="001D7A45">
        <w:rPr>
          <w:rFonts w:ascii="Times New Roman" w:hAnsi="Times New Roman"/>
          <w:sz w:val="24"/>
          <w:szCs w:val="24"/>
          <w:u w:val="single"/>
          <w:lang w:val="pt-BR"/>
        </w:rPr>
        <w:t>ariaeduarda.souzaguerra@gmail.com</w:t>
      </w:r>
    </w:p>
    <w:p w14:paraId="71FDCEF8" w14:textId="77777777" w:rsidR="005D1AC9" w:rsidRPr="007B117A" w:rsidRDefault="005D1AC9" w:rsidP="005D1AC9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 xml:space="preserve"> (1 espaço)</w:t>
      </w:r>
    </w:p>
    <w:p w14:paraId="30F9F6C8" w14:textId="77777777" w:rsidR="005D1AC9" w:rsidRPr="007B117A" w:rsidRDefault="00A5081A" w:rsidP="005D1AC9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 w:rsidRPr="007B117A">
        <w:rPr>
          <w:rFonts w:ascii="Times New Roman" w:hAnsi="Times New Roman"/>
          <w:b/>
          <w:bCs/>
          <w:sz w:val="24"/>
          <w:szCs w:val="24"/>
        </w:rPr>
        <w:t>RESUMO</w:t>
      </w:r>
      <w:r w:rsidR="005D1AC9" w:rsidRPr="007B117A">
        <w:rPr>
          <w:rFonts w:ascii="Times New Roman" w:hAnsi="Times New Roman"/>
          <w:sz w:val="24"/>
          <w:szCs w:val="24"/>
        </w:rPr>
        <w:t xml:space="preserve">. </w:t>
      </w:r>
      <w:r w:rsidR="001D7A45" w:rsidRPr="001D7A45">
        <w:rPr>
          <w:rFonts w:ascii="Times New Roman" w:hAnsi="Times New Roman"/>
          <w:b/>
          <w:sz w:val="24"/>
          <w:szCs w:val="24"/>
        </w:rPr>
        <w:t>Introdução</w:t>
      </w:r>
      <w:r w:rsidR="001D7A45">
        <w:rPr>
          <w:rFonts w:ascii="Times New Roman" w:hAnsi="Times New Roman"/>
          <w:sz w:val="24"/>
          <w:szCs w:val="24"/>
        </w:rPr>
        <w:t xml:space="preserve">: </w:t>
      </w:r>
      <w:commentRangeStart w:id="1"/>
      <w:r w:rsidR="001D7A45" w:rsidRPr="001D7A45">
        <w:rPr>
          <w:rFonts w:ascii="Times New Roman" w:hAnsi="Times New Roman"/>
          <w:sz w:val="24"/>
          <w:szCs w:val="24"/>
        </w:rPr>
        <w:t xml:space="preserve">Streptococcus </w:t>
      </w:r>
      <w:proofErr w:type="spellStart"/>
      <w:r w:rsidR="001D7A45" w:rsidRPr="001D7A45">
        <w:rPr>
          <w:rFonts w:ascii="Times New Roman" w:hAnsi="Times New Roman"/>
          <w:sz w:val="24"/>
          <w:szCs w:val="24"/>
        </w:rPr>
        <w:t>pneumoniae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 xml:space="preserve"> </w:t>
      </w:r>
      <w:commentRangeEnd w:id="1"/>
      <w:r w:rsidR="00BA7B12">
        <w:rPr>
          <w:rStyle w:val="Refdecomentrio"/>
        </w:rPr>
        <w:commentReference w:id="1"/>
      </w:r>
      <w:r w:rsidR="001D7A45" w:rsidRPr="001D7A45">
        <w:rPr>
          <w:rFonts w:ascii="Times New Roman" w:hAnsi="Times New Roman"/>
          <w:sz w:val="24"/>
          <w:szCs w:val="24"/>
        </w:rPr>
        <w:t xml:space="preserve">é responsável por grande mortalidade no mundo todo, afetando principalmente crianças e idosos, em particular nos países em desenvolvimento. As vacinas atuais, baseadas em polissacarídeos capsulares, livres ou conjugados a carregadores proteicos, apresentam custo de produção elevado e cobertura limitada. Neste cenário, diversas proteínas pneumocócicas têm sido investigadas como potenciais candidatos vacinais, com resultados promissores. Um importante mecanismo imunológico na eliminação do </w:t>
      </w:r>
      <w:commentRangeStart w:id="2"/>
      <w:r w:rsidR="001D7A45" w:rsidRPr="001D7A45">
        <w:rPr>
          <w:rFonts w:ascii="Times New Roman" w:hAnsi="Times New Roman"/>
          <w:sz w:val="24"/>
          <w:szCs w:val="24"/>
        </w:rPr>
        <w:t>penumococo</w:t>
      </w:r>
      <w:commentRangeEnd w:id="2"/>
      <w:r w:rsidR="00BA7B12">
        <w:rPr>
          <w:rStyle w:val="Refdecomentrio"/>
        </w:rPr>
        <w:commentReference w:id="2"/>
      </w:r>
      <w:r w:rsidR="001D7A45" w:rsidRPr="001D7A45">
        <w:rPr>
          <w:rFonts w:ascii="Times New Roman" w:hAnsi="Times New Roman"/>
          <w:sz w:val="24"/>
          <w:szCs w:val="24"/>
        </w:rPr>
        <w:t xml:space="preserve"> é a </w:t>
      </w:r>
      <w:proofErr w:type="spellStart"/>
      <w:r w:rsidR="001D7A45" w:rsidRPr="001D7A45">
        <w:rPr>
          <w:rFonts w:ascii="Times New Roman" w:hAnsi="Times New Roman"/>
          <w:sz w:val="24"/>
          <w:szCs w:val="24"/>
        </w:rPr>
        <w:t>opsonofagocitose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>, um processo que envolve a deposição de proteínas do Sistema Complemento na bactéria e sua posterior eliminação por fagócitos. A presença de anticorpos específicos ativa a via clássica do sistema complemento, promovendo uma fagocitose mais eficiente da bactéria.</w:t>
      </w:r>
      <w:r w:rsidR="001D7A45" w:rsidRPr="001D7A45">
        <w:rPr>
          <w:rFonts w:ascii="Times New Roman" w:hAnsi="Times New Roman"/>
          <w:b/>
          <w:sz w:val="24"/>
          <w:szCs w:val="24"/>
        </w:rPr>
        <w:t xml:space="preserve"> Objetivos</w:t>
      </w:r>
      <w:r w:rsidR="001D7A45">
        <w:rPr>
          <w:rFonts w:ascii="Times New Roman" w:hAnsi="Times New Roman"/>
          <w:sz w:val="24"/>
          <w:szCs w:val="24"/>
        </w:rPr>
        <w:t xml:space="preserve">: </w:t>
      </w:r>
      <w:r w:rsidR="001D7A45" w:rsidRPr="001D7A45">
        <w:rPr>
          <w:rFonts w:ascii="Times New Roman" w:hAnsi="Times New Roman"/>
          <w:sz w:val="24"/>
          <w:szCs w:val="24"/>
        </w:rPr>
        <w:t xml:space="preserve">Neste estudo, </w:t>
      </w:r>
      <w:commentRangeStart w:id="3"/>
      <w:r w:rsidR="001D7A45" w:rsidRPr="001D7A45">
        <w:rPr>
          <w:rFonts w:ascii="Times New Roman" w:hAnsi="Times New Roman"/>
          <w:sz w:val="24"/>
          <w:szCs w:val="24"/>
        </w:rPr>
        <w:t>será</w:t>
      </w:r>
      <w:commentRangeEnd w:id="3"/>
      <w:r w:rsidR="00BA7B12">
        <w:rPr>
          <w:rStyle w:val="Refdecomentrio"/>
        </w:rPr>
        <w:commentReference w:id="3"/>
      </w:r>
      <w:r w:rsidR="001D7A45" w:rsidRPr="001D7A45">
        <w:rPr>
          <w:rFonts w:ascii="Times New Roman" w:hAnsi="Times New Roman"/>
          <w:sz w:val="24"/>
          <w:szCs w:val="24"/>
        </w:rPr>
        <w:t xml:space="preserve"> avaliada a habilidade de anticorpos contra proteínas de superfície do pneumococo (</w:t>
      </w:r>
      <w:proofErr w:type="spellStart"/>
      <w:r w:rsidR="001D7A45" w:rsidRPr="001D7A45">
        <w:rPr>
          <w:rFonts w:ascii="Times New Roman" w:hAnsi="Times New Roman"/>
          <w:sz w:val="24"/>
          <w:szCs w:val="24"/>
        </w:rPr>
        <w:t>PspA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>,</w:t>
      </w:r>
      <w:r w:rsidR="001D7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D7A45" w:rsidRPr="001D7A45">
        <w:rPr>
          <w:rFonts w:ascii="Times New Roman" w:hAnsi="Times New Roman"/>
          <w:color w:val="FF0066"/>
          <w:sz w:val="24"/>
          <w:szCs w:val="24"/>
        </w:rPr>
        <w:t>PotD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D7A45" w:rsidRPr="001D7A45">
        <w:rPr>
          <w:rFonts w:ascii="Times New Roman" w:hAnsi="Times New Roman"/>
          <w:sz w:val="24"/>
          <w:szCs w:val="24"/>
        </w:rPr>
        <w:t>Ply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1D7A45" w:rsidRPr="001D7A45">
        <w:rPr>
          <w:rFonts w:ascii="Times New Roman" w:hAnsi="Times New Roman"/>
          <w:sz w:val="24"/>
          <w:szCs w:val="24"/>
        </w:rPr>
        <w:t>PhtD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>)</w:t>
      </w:r>
      <w:r w:rsidR="001D7A45">
        <w:rPr>
          <w:rFonts w:ascii="Times New Roman" w:hAnsi="Times New Roman"/>
          <w:sz w:val="24"/>
          <w:szCs w:val="24"/>
        </w:rPr>
        <w:t>,</w:t>
      </w:r>
      <w:r w:rsidR="001D7A45" w:rsidRPr="001D7A45">
        <w:t xml:space="preserve"> </w:t>
      </w:r>
      <w:r w:rsidR="001D7A45" w:rsidRPr="001D7A45">
        <w:rPr>
          <w:rFonts w:ascii="Times New Roman" w:hAnsi="Times New Roman"/>
          <w:sz w:val="24"/>
          <w:szCs w:val="24"/>
        </w:rPr>
        <w:t xml:space="preserve">bem como proteínas quiméricas </w:t>
      </w:r>
      <w:r w:rsidR="001D7A45" w:rsidRPr="001D7A45">
        <w:rPr>
          <w:rFonts w:ascii="Times New Roman" w:hAnsi="Times New Roman"/>
          <w:sz w:val="24"/>
          <w:szCs w:val="24"/>
          <w:highlight w:val="cyan"/>
        </w:rPr>
        <w:t>(</w:t>
      </w:r>
      <w:proofErr w:type="spellStart"/>
      <w:r w:rsidR="001D7A45" w:rsidRPr="001D7A45">
        <w:rPr>
          <w:rFonts w:ascii="Times New Roman" w:hAnsi="Times New Roman"/>
          <w:sz w:val="24"/>
          <w:szCs w:val="24"/>
          <w:highlight w:val="cyan"/>
        </w:rPr>
        <w:t>PspA-potD</w:t>
      </w:r>
      <w:proofErr w:type="spellEnd"/>
      <w:r w:rsidR="001D7A45" w:rsidRPr="001D7A45">
        <w:rPr>
          <w:rFonts w:ascii="Times New Roman" w:hAnsi="Times New Roman"/>
          <w:sz w:val="24"/>
          <w:szCs w:val="24"/>
          <w:highlight w:val="cyan"/>
        </w:rPr>
        <w:t xml:space="preserve"> e PspA-PlD1)</w:t>
      </w:r>
      <w:r w:rsidR="001D7A45" w:rsidRPr="001D7A45">
        <w:rPr>
          <w:rFonts w:ascii="Times New Roman" w:hAnsi="Times New Roman"/>
          <w:sz w:val="24"/>
          <w:szCs w:val="24"/>
        </w:rPr>
        <w:t xml:space="preserve">  de aumentar a deposição de C3b – a principal opsonina do Sistema complemento – na superfície da bactéria, por </w:t>
      </w:r>
      <w:proofErr w:type="spellStart"/>
      <w:r w:rsidR="001D7A45" w:rsidRPr="001D7A45">
        <w:rPr>
          <w:rFonts w:ascii="Times New Roman" w:hAnsi="Times New Roman"/>
          <w:sz w:val="24"/>
          <w:szCs w:val="24"/>
        </w:rPr>
        <w:t>citometria</w:t>
      </w:r>
      <w:proofErr w:type="spellEnd"/>
      <w:r w:rsidR="001D7A45" w:rsidRPr="001D7A45">
        <w:rPr>
          <w:rFonts w:ascii="Times New Roman" w:hAnsi="Times New Roman"/>
          <w:sz w:val="24"/>
          <w:szCs w:val="24"/>
        </w:rPr>
        <w:t xml:space="preserve"> de fluxo. </w:t>
      </w:r>
      <w:commentRangeStart w:id="4"/>
      <w:commentRangeStart w:id="5"/>
      <w:r w:rsidR="001D7A45" w:rsidRPr="001D7A45">
        <w:rPr>
          <w:rFonts w:ascii="Times New Roman" w:hAnsi="Times New Roman"/>
          <w:sz w:val="24"/>
          <w:szCs w:val="24"/>
          <w:highlight w:val="cyan"/>
        </w:rPr>
        <w:t>Também</w:t>
      </w:r>
      <w:commentRangeEnd w:id="4"/>
      <w:r w:rsidR="001D7A45">
        <w:rPr>
          <w:rStyle w:val="Refdecomentrio"/>
        </w:rPr>
        <w:commentReference w:id="4"/>
      </w:r>
      <w:commentRangeEnd w:id="5"/>
      <w:r w:rsidR="00BA7B12">
        <w:rPr>
          <w:rStyle w:val="Refdecomentrio"/>
        </w:rPr>
        <w:commentReference w:id="5"/>
      </w:r>
      <w:r w:rsidR="001D7A45" w:rsidRPr="001D7A45">
        <w:rPr>
          <w:rFonts w:ascii="Times New Roman" w:hAnsi="Times New Roman"/>
          <w:sz w:val="24"/>
          <w:szCs w:val="24"/>
          <w:highlight w:val="cyan"/>
        </w:rPr>
        <w:t xml:space="preserve"> será avaliado o papel </w:t>
      </w:r>
      <w:proofErr w:type="gramStart"/>
      <w:r w:rsidR="001D7A45" w:rsidRPr="001D7A45">
        <w:rPr>
          <w:rFonts w:ascii="Times New Roman" w:hAnsi="Times New Roman"/>
          <w:sz w:val="24"/>
          <w:szCs w:val="24"/>
          <w:highlight w:val="cyan"/>
        </w:rPr>
        <w:t>deste anticorpos</w:t>
      </w:r>
      <w:proofErr w:type="gramEnd"/>
      <w:r w:rsidR="001D7A45" w:rsidRPr="001D7A45">
        <w:rPr>
          <w:rFonts w:ascii="Times New Roman" w:hAnsi="Times New Roman"/>
          <w:sz w:val="24"/>
          <w:szCs w:val="24"/>
          <w:highlight w:val="cyan"/>
        </w:rPr>
        <w:t xml:space="preserve"> na </w:t>
      </w:r>
      <w:proofErr w:type="spellStart"/>
      <w:r w:rsidR="001D7A45" w:rsidRPr="001D7A45">
        <w:rPr>
          <w:rFonts w:ascii="Times New Roman" w:hAnsi="Times New Roman"/>
          <w:sz w:val="24"/>
          <w:szCs w:val="24"/>
          <w:highlight w:val="cyan"/>
        </w:rPr>
        <w:t>opsonofagocitose</w:t>
      </w:r>
      <w:proofErr w:type="spellEnd"/>
      <w:r w:rsidR="001D7A45" w:rsidRPr="001D7A45">
        <w:rPr>
          <w:rFonts w:ascii="Times New Roman" w:hAnsi="Times New Roman"/>
          <w:sz w:val="24"/>
          <w:szCs w:val="24"/>
          <w:highlight w:val="cyan"/>
        </w:rPr>
        <w:t xml:space="preserve"> da bactéria, in vitro. Serão investigadas a contribuição da cápsula </w:t>
      </w:r>
      <w:proofErr w:type="spellStart"/>
      <w:r w:rsidR="001D7A45" w:rsidRPr="001D7A45">
        <w:rPr>
          <w:rFonts w:ascii="Times New Roman" w:hAnsi="Times New Roman"/>
          <w:sz w:val="24"/>
          <w:szCs w:val="24"/>
          <w:highlight w:val="cyan"/>
        </w:rPr>
        <w:t>polissacarídica</w:t>
      </w:r>
      <w:proofErr w:type="spellEnd"/>
      <w:r w:rsidR="001D7A45" w:rsidRPr="001D7A45">
        <w:rPr>
          <w:rFonts w:ascii="Times New Roman" w:hAnsi="Times New Roman"/>
          <w:sz w:val="24"/>
          <w:szCs w:val="24"/>
          <w:highlight w:val="cyan"/>
        </w:rPr>
        <w:t xml:space="preserve"> – pela comparação entre pneumococos de diferentes sorotipos, bem como de proteínas específicas, </w:t>
      </w:r>
      <w:proofErr w:type="spellStart"/>
      <w:r w:rsidR="001D7A45" w:rsidRPr="001D7A45">
        <w:rPr>
          <w:rFonts w:ascii="Times New Roman" w:hAnsi="Times New Roman"/>
          <w:sz w:val="24"/>
          <w:szCs w:val="24"/>
          <w:highlight w:val="cyan"/>
        </w:rPr>
        <w:t>utiliziando-se</w:t>
      </w:r>
      <w:proofErr w:type="spellEnd"/>
      <w:r w:rsidR="001D7A45" w:rsidRPr="001D7A45">
        <w:rPr>
          <w:rFonts w:ascii="Times New Roman" w:hAnsi="Times New Roman"/>
          <w:sz w:val="24"/>
          <w:szCs w:val="24"/>
          <w:highlight w:val="cyan"/>
        </w:rPr>
        <w:t xml:space="preserve"> bactérias mutantes que não expressam estes antígenos.</w:t>
      </w:r>
      <w:r w:rsidR="001D7A45" w:rsidRPr="001D7A45">
        <w:rPr>
          <w:rFonts w:ascii="Times New Roman" w:hAnsi="Times New Roman"/>
          <w:sz w:val="24"/>
          <w:szCs w:val="24"/>
        </w:rPr>
        <w:t xml:space="preserve"> </w:t>
      </w:r>
      <w:commentRangeStart w:id="6"/>
      <w:commentRangeStart w:id="7"/>
      <w:r w:rsidR="001D7A45" w:rsidRPr="001D7A45">
        <w:rPr>
          <w:rFonts w:ascii="Times New Roman" w:hAnsi="Times New Roman"/>
          <w:b/>
          <w:sz w:val="24"/>
          <w:szCs w:val="24"/>
        </w:rPr>
        <w:t>Resultados</w:t>
      </w:r>
      <w:commentRangeEnd w:id="6"/>
      <w:r w:rsidR="001D7A45">
        <w:rPr>
          <w:rStyle w:val="Refdecomentrio"/>
        </w:rPr>
        <w:commentReference w:id="6"/>
      </w:r>
      <w:commentRangeEnd w:id="7"/>
      <w:r w:rsidR="00BA7B12">
        <w:rPr>
          <w:rStyle w:val="Refdecomentrio"/>
        </w:rPr>
        <w:commentReference w:id="7"/>
      </w:r>
      <w:r w:rsidR="001D7A45" w:rsidRPr="001D7A45">
        <w:rPr>
          <w:rFonts w:ascii="Times New Roman" w:hAnsi="Times New Roman"/>
          <w:b/>
          <w:sz w:val="24"/>
          <w:szCs w:val="24"/>
        </w:rPr>
        <w:t>:</w:t>
      </w:r>
      <w:r w:rsidR="001D7A45">
        <w:rPr>
          <w:rFonts w:ascii="Times New Roman" w:hAnsi="Times New Roman"/>
          <w:sz w:val="24"/>
          <w:szCs w:val="24"/>
        </w:rPr>
        <w:t xml:space="preserve"> </w:t>
      </w:r>
      <w:r w:rsidR="001D7A45" w:rsidRPr="001D7A45">
        <w:rPr>
          <w:rFonts w:ascii="Times New Roman" w:hAnsi="Times New Roman"/>
          <w:sz w:val="24"/>
          <w:szCs w:val="24"/>
        </w:rPr>
        <w:t>Os resultados deste projeto poderão contribuir com o desenvolvimento de vacinas mais seguras e eficazes contra o pneumococo</w:t>
      </w:r>
      <w:r w:rsidR="001D7A45">
        <w:rPr>
          <w:rFonts w:ascii="Times New Roman" w:hAnsi="Times New Roman"/>
          <w:iCs/>
          <w:sz w:val="24"/>
          <w:szCs w:val="24"/>
        </w:rPr>
        <w:t xml:space="preserve">. </w:t>
      </w:r>
      <w:r w:rsidR="001D7A45" w:rsidRPr="001D7A45">
        <w:rPr>
          <w:rFonts w:ascii="Times New Roman" w:hAnsi="Times New Roman"/>
          <w:b/>
          <w:iCs/>
          <w:sz w:val="24"/>
          <w:szCs w:val="24"/>
        </w:rPr>
        <w:t>Conclusão:</w:t>
      </w:r>
    </w:p>
    <w:p w14:paraId="007D25B6" w14:textId="77777777" w:rsidR="000D3581" w:rsidRDefault="000D3581" w:rsidP="005D1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C1C5C6E" w14:textId="77777777" w:rsidR="005D1AC9" w:rsidRPr="007B117A" w:rsidRDefault="005D1AC9" w:rsidP="005D1A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B117A">
        <w:rPr>
          <w:rFonts w:ascii="Times New Roman" w:hAnsi="Times New Roman"/>
          <w:b/>
          <w:bCs/>
          <w:color w:val="000000"/>
          <w:sz w:val="24"/>
          <w:szCs w:val="24"/>
        </w:rPr>
        <w:t>Palavras-chave</w:t>
      </w:r>
      <w:r w:rsidRPr="007B117A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1D7A45" w:rsidRPr="001D7A45">
        <w:rPr>
          <w:rFonts w:ascii="Times New Roman" w:hAnsi="Times New Roman"/>
          <w:color w:val="000000"/>
          <w:sz w:val="24"/>
          <w:szCs w:val="24"/>
        </w:rPr>
        <w:t xml:space="preserve">S. </w:t>
      </w:r>
      <w:proofErr w:type="spellStart"/>
      <w:r w:rsidR="001D7A45" w:rsidRPr="001D7A45">
        <w:rPr>
          <w:rFonts w:ascii="Times New Roman" w:hAnsi="Times New Roman"/>
          <w:color w:val="000000"/>
          <w:sz w:val="24"/>
          <w:szCs w:val="24"/>
        </w:rPr>
        <w:t>pneumoniae</w:t>
      </w:r>
      <w:proofErr w:type="spellEnd"/>
      <w:r w:rsidR="001D7A45" w:rsidRPr="001D7A45">
        <w:rPr>
          <w:rFonts w:ascii="Times New Roman" w:hAnsi="Times New Roman"/>
          <w:color w:val="000000"/>
          <w:sz w:val="24"/>
          <w:szCs w:val="24"/>
        </w:rPr>
        <w:t>, Vacinas pneumocócicas, sistema complemento</w:t>
      </w:r>
      <w:r w:rsidRPr="007B117A">
        <w:rPr>
          <w:rFonts w:ascii="Times New Roman" w:hAnsi="Times New Roman"/>
          <w:color w:val="000000"/>
          <w:sz w:val="24"/>
          <w:szCs w:val="24"/>
        </w:rPr>
        <w:t>.</w:t>
      </w:r>
    </w:p>
    <w:p w14:paraId="4712D356" w14:textId="77777777" w:rsidR="005D1AC9" w:rsidRPr="007B117A" w:rsidRDefault="005D1AC9" w:rsidP="005D1AC9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 xml:space="preserve"> (1 espaço)</w:t>
      </w:r>
    </w:p>
    <w:p w14:paraId="38425459" w14:textId="77777777" w:rsidR="003D09E8" w:rsidRPr="007B117A" w:rsidRDefault="00A5081A" w:rsidP="003D09E8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commentRangeStart w:id="8"/>
      <w:commentRangeStart w:id="9"/>
      <w:r>
        <w:rPr>
          <w:rFonts w:ascii="Times New Roman" w:hAnsi="Times New Roman"/>
          <w:b/>
          <w:bCs/>
          <w:sz w:val="24"/>
          <w:szCs w:val="24"/>
        </w:rPr>
        <w:t>ABSTRACT.</w:t>
      </w:r>
      <w:r w:rsidR="003D09E8" w:rsidRPr="007B117A">
        <w:rPr>
          <w:rFonts w:ascii="Times New Roman" w:hAnsi="Times New Roman"/>
          <w:sz w:val="24"/>
          <w:szCs w:val="24"/>
        </w:rPr>
        <w:t xml:space="preserve"> </w:t>
      </w:r>
      <w:r w:rsidR="00782AAD">
        <w:rPr>
          <w:rFonts w:ascii="Times New Roman" w:hAnsi="Times New Roman"/>
          <w:iCs/>
          <w:color w:val="000000"/>
          <w:sz w:val="24"/>
          <w:szCs w:val="24"/>
        </w:rPr>
        <w:t>Inserir aqui a versão do resumo em inglês.</w:t>
      </w:r>
      <w:r w:rsidR="00C85B3E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="00782AAD">
        <w:rPr>
          <w:rFonts w:ascii="Times New Roman" w:hAnsi="Times New Roman"/>
          <w:iCs/>
          <w:color w:val="000000"/>
          <w:sz w:val="24"/>
          <w:szCs w:val="24"/>
        </w:rPr>
        <w:t xml:space="preserve"> </w:t>
      </w:r>
      <w:r w:rsidR="003D09E8" w:rsidRPr="007B117A">
        <w:rPr>
          <w:rFonts w:ascii="Times New Roman" w:hAnsi="Times New Roman"/>
          <w:iCs/>
          <w:sz w:val="24"/>
          <w:szCs w:val="24"/>
        </w:rPr>
        <w:t xml:space="preserve"> </w:t>
      </w:r>
      <w:commentRangeEnd w:id="8"/>
      <w:r w:rsidR="001D7A45">
        <w:rPr>
          <w:rStyle w:val="Refdecomentrio"/>
        </w:rPr>
        <w:commentReference w:id="8"/>
      </w:r>
      <w:commentRangeEnd w:id="9"/>
      <w:r w:rsidR="00BA7B12">
        <w:rPr>
          <w:rStyle w:val="Refdecomentrio"/>
        </w:rPr>
        <w:commentReference w:id="9"/>
      </w:r>
    </w:p>
    <w:p w14:paraId="63AAA675" w14:textId="77777777" w:rsidR="003D09E8" w:rsidRPr="008A39B4" w:rsidRDefault="003D09E8" w:rsidP="003D09E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</w:pPr>
      <w:r w:rsidRPr="008A39B4">
        <w:rPr>
          <w:rFonts w:ascii="Times New Roman" w:hAnsi="Times New Roman"/>
          <w:color w:val="FF0000"/>
          <w:sz w:val="24"/>
          <w:szCs w:val="24"/>
          <w:lang w:val="en-US"/>
        </w:rPr>
        <w:t xml:space="preserve">(1 </w:t>
      </w:r>
      <w:proofErr w:type="spellStart"/>
      <w:r w:rsidRPr="008A39B4">
        <w:rPr>
          <w:rFonts w:ascii="Times New Roman" w:hAnsi="Times New Roman"/>
          <w:color w:val="FF0000"/>
          <w:sz w:val="24"/>
          <w:szCs w:val="24"/>
          <w:lang w:val="en-US"/>
        </w:rPr>
        <w:t>espaço</w:t>
      </w:r>
      <w:proofErr w:type="spellEnd"/>
      <w:r w:rsidRPr="008A39B4">
        <w:rPr>
          <w:rFonts w:ascii="Times New Roman" w:hAnsi="Times New Roman"/>
          <w:color w:val="FF0000"/>
          <w:sz w:val="24"/>
          <w:szCs w:val="24"/>
          <w:lang w:val="en-US"/>
        </w:rPr>
        <w:t>)</w:t>
      </w:r>
    </w:p>
    <w:p w14:paraId="24C0C553" w14:textId="77777777" w:rsidR="0075366D" w:rsidRPr="001D7A45" w:rsidRDefault="00782AAD" w:rsidP="00782A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en-US"/>
        </w:rPr>
      </w:pPr>
      <w:r w:rsidRPr="001D7A45"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Keywords</w:t>
      </w:r>
      <w:r w:rsidR="003D09E8" w:rsidRPr="001D7A45">
        <w:rPr>
          <w:rFonts w:ascii="Times New Roman" w:hAnsi="Times New Roman"/>
          <w:color w:val="000000"/>
          <w:sz w:val="24"/>
          <w:szCs w:val="24"/>
          <w:lang w:val="en-US"/>
        </w:rPr>
        <w:t xml:space="preserve">: </w:t>
      </w:r>
      <w:r w:rsidR="001D7A45">
        <w:rPr>
          <w:rFonts w:ascii="Times New Roman" w:hAnsi="Times New Roman"/>
          <w:sz w:val="24"/>
          <w:szCs w:val="24"/>
          <w:lang w:val="en-US"/>
        </w:rPr>
        <w:t xml:space="preserve">S. pneumonia; Pneumococcal vaccines; </w:t>
      </w:r>
      <w:r w:rsidR="001D7A45" w:rsidRPr="00AC3A6A">
        <w:rPr>
          <w:rFonts w:ascii="Times New Roman" w:hAnsi="Times New Roman"/>
          <w:sz w:val="24"/>
          <w:szCs w:val="24"/>
          <w:lang w:val="en-US"/>
        </w:rPr>
        <w:t>complement system</w:t>
      </w:r>
      <w:r w:rsidRPr="001D7A45">
        <w:rPr>
          <w:rFonts w:ascii="Times New Roman" w:hAnsi="Times New Roman"/>
          <w:iCs/>
          <w:color w:val="000000"/>
          <w:sz w:val="24"/>
          <w:szCs w:val="24"/>
          <w:lang w:val="en-US"/>
        </w:rPr>
        <w:t xml:space="preserve">. </w:t>
      </w:r>
      <w:r w:rsidRPr="001D7A45"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r w:rsidR="003D09E8" w:rsidRPr="001D7A45">
        <w:rPr>
          <w:rFonts w:ascii="Times New Roman" w:hAnsi="Times New Roman"/>
          <w:color w:val="FF0000"/>
          <w:sz w:val="24"/>
          <w:szCs w:val="24"/>
          <w:lang w:val="en-US"/>
        </w:rPr>
        <w:t xml:space="preserve"> </w:t>
      </w:r>
    </w:p>
    <w:p w14:paraId="125ECD6F" w14:textId="77777777" w:rsidR="003D09E8" w:rsidRPr="007B117A" w:rsidRDefault="003D09E8" w:rsidP="00782A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9FBCB5A" w14:textId="77777777" w:rsidR="005D1AC9" w:rsidRPr="007B117A" w:rsidRDefault="00A5081A" w:rsidP="005D1AC9">
      <w:pPr>
        <w:pStyle w:val="Ttulo1"/>
        <w:spacing w:line="240" w:lineRule="auto"/>
      </w:pPr>
      <w:r w:rsidRPr="007B117A">
        <w:t>INTRODUÇÃO</w:t>
      </w:r>
    </w:p>
    <w:p w14:paraId="61A44AA4" w14:textId="12D3A115" w:rsidR="00103289" w:rsidRPr="00DF7ED9" w:rsidRDefault="005D1AC9" w:rsidP="00DF7ED9">
      <w:pPr>
        <w:tabs>
          <w:tab w:val="left" w:pos="68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438EDDE2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 xml:space="preserve">Streptococcus </w:t>
      </w:r>
      <w:commentRangeStart w:id="10"/>
      <w:proofErr w:type="spellStart"/>
      <w:r w:rsidRPr="008A39B4">
        <w:rPr>
          <w:rFonts w:eastAsia="Calibri"/>
          <w:i/>
          <w:u w:val="none"/>
          <w:lang w:val="pt-BR" w:eastAsia="en-US"/>
        </w:rPr>
        <w:t>pneumoniae</w:t>
      </w:r>
      <w:commentRangeEnd w:id="10"/>
      <w:proofErr w:type="spellEnd"/>
      <w:r w:rsidR="00DA442E">
        <w:rPr>
          <w:rStyle w:val="Refdecomentrio"/>
          <w:rFonts w:ascii="Calibri" w:eastAsia="Calibri" w:hAnsi="Calibri"/>
          <w:u w:val="none"/>
          <w:lang w:val="pt-BR" w:eastAsia="en-US"/>
        </w:rPr>
        <w:commentReference w:id="10"/>
      </w:r>
      <w:r w:rsidRPr="008A39B4">
        <w:rPr>
          <w:rFonts w:eastAsia="Calibri"/>
          <w:u w:val="none"/>
          <w:lang w:val="pt-BR" w:eastAsia="en-US"/>
        </w:rPr>
        <w:t xml:space="preserve"> está entre os agentes etiológicos mais importantes das infecções do trato respiratório; é um colonizador da nasofaringe de adultos e crianças, que atuam como portadores assintomáticos e transmissores [</w:t>
      </w:r>
      <w:commentRangeStart w:id="11"/>
      <w:r w:rsidRPr="008A39B4">
        <w:rPr>
          <w:rFonts w:eastAsia="Calibri"/>
          <w:u w:val="none"/>
          <w:lang w:val="pt-BR" w:eastAsia="en-US"/>
        </w:rPr>
        <w:t>1</w:t>
      </w:r>
      <w:commentRangeEnd w:id="11"/>
      <w:r w:rsidR="00BA7B12">
        <w:rPr>
          <w:rStyle w:val="Refdecomentrio"/>
          <w:rFonts w:ascii="Calibri" w:eastAsia="Calibri" w:hAnsi="Calibri"/>
          <w:u w:val="none"/>
          <w:lang w:val="pt-BR" w:eastAsia="en-US"/>
        </w:rPr>
        <w:commentReference w:id="11"/>
      </w:r>
      <w:r w:rsidRPr="008A39B4">
        <w:rPr>
          <w:rFonts w:eastAsia="Calibri"/>
          <w:u w:val="none"/>
          <w:lang w:val="pt-BR" w:eastAsia="en-US"/>
        </w:rPr>
        <w:t xml:space="preserve">]. No entanto, quando esses microrganismos invadem outras regiões do corpo, como ouvido médio, pulmões, sangue e meninges, desencadeiam uma resposta inflamatória aguda, ocasionando otite média, pneumonia, </w:t>
      </w:r>
      <w:r w:rsidRPr="008A39B4">
        <w:rPr>
          <w:rFonts w:eastAsia="Calibri"/>
          <w:u w:val="none"/>
          <w:lang w:val="pt-BR" w:eastAsia="en-US"/>
        </w:rPr>
        <w:lastRenderedPageBreak/>
        <w:t xml:space="preserve">meningite e septicemia [2]. A infecção ocorre através de aerossóis, contato com indivíduos já colonizados ou em condições oportunas, em que há depressão do sistema imune. </w:t>
      </w:r>
    </w:p>
    <w:p w14:paraId="5AE30BBB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Doenças causadas pelo pneumococo atingem todas as faixas etárias com manifestação maior em crianças abaixo de 2 anos, idosos acima de 65 anos e indivíduos imunodeprimidos [3]. Em 2011, 1,3 milhão de crianças foram a óbito devido a complicações da pneumonia, sendo que 18% deste total foi ocasionado pelo </w:t>
      </w:r>
      <w:r w:rsidRPr="008A39B4">
        <w:rPr>
          <w:rFonts w:eastAsia="Calibri"/>
          <w:i/>
          <w:u w:val="none"/>
          <w:lang w:val="pt-BR" w:eastAsia="en-US"/>
        </w:rPr>
        <w:t xml:space="preserve">Streptococcus 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pneumoniae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[4]. Em conjunto, as infecções pneumocócicas causam aproximadamente 800.000 mortes de crianças abaixo de 5 anos de idade por ano [5].</w:t>
      </w:r>
    </w:p>
    <w:p w14:paraId="5345DC99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Atualmente a profilaxia para essas doenças são as vacinas baseadas em polissacarídeos livres ou conjugados a proteínas [6]; porém, as formulações conjugadas têm um elevado custo de produção e uma cobertura limitada, devido ao número reduzido de sorotipos que compõem a formulação e com isso diminuindo a eficácia da mesma; os altos custos limitam a implementação dessas vacinas em países de renda baixa, onde a incidência de doenças causadas pelo pneumococo é maior [7].</w:t>
      </w:r>
    </w:p>
    <w:p w14:paraId="3A2CC75A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Neste cenário, estão sendo estudadas diversas proteínas pneumocócicas que constituem fatores de virulência bacterianos, como potenciais candidatos para novas formulações contra </w:t>
      </w:r>
      <w:r w:rsidRPr="008A39B4">
        <w:rPr>
          <w:rFonts w:eastAsia="Calibri"/>
          <w:i/>
          <w:u w:val="none"/>
          <w:lang w:val="pt-BR" w:eastAsia="en-US"/>
        </w:rPr>
        <w:t xml:space="preserve">Streptococcus 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pneumoniae</w:t>
      </w:r>
      <w:proofErr w:type="spellEnd"/>
      <w:r w:rsidRPr="008A39B4">
        <w:rPr>
          <w:rFonts w:eastAsia="Calibri"/>
          <w:u w:val="none"/>
          <w:lang w:val="pt-BR" w:eastAsia="en-US"/>
        </w:rPr>
        <w:t>, com maior cobertura, eficácia na proteção e custo reduzido [8].</w:t>
      </w:r>
    </w:p>
    <w:p w14:paraId="62E8A581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</w:p>
    <w:p w14:paraId="12222F97" w14:textId="0BBDA24A" w:rsid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 xml:space="preserve">Streptococcus 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pneumoniae</w:t>
      </w:r>
      <w:proofErr w:type="spellEnd"/>
    </w:p>
    <w:p w14:paraId="4F04F1D0" w14:textId="77777777" w:rsidR="008A39B4" w:rsidRPr="008A39B4" w:rsidRDefault="008A39B4" w:rsidP="008A39B4"/>
    <w:p w14:paraId="448872A5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 xml:space="preserve">Streptococcus 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pneumoniae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é uma bactéria Gram-positiva, anaeróbico facultativo e frequentemente encontrado sob a forma de diplococo. Apresenta em sua superfície uma cápsula </w:t>
      </w:r>
      <w:proofErr w:type="spellStart"/>
      <w:r w:rsidRPr="008A39B4">
        <w:rPr>
          <w:rFonts w:eastAsia="Calibri"/>
          <w:u w:val="none"/>
          <w:lang w:val="pt-BR" w:eastAsia="en-US"/>
        </w:rPr>
        <w:t>polissacarídica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com composição química variável, responsável por diferenciar a espécie em 97 sorotipos, que foram identificados e caracterizados até o momento [9,10,11,12]. Abaixo da cápsula está a parede celular que contém diversas proteínas importantes para a virulência da bactéria. </w:t>
      </w:r>
    </w:p>
    <w:p w14:paraId="41A30606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Os polissacarídeos capsulares são a base das vacinas atuais, devido a sua alta imunogenicidade. As vacinas pneumocócicas de adultos são compostas pelos polissacarídeos purificados de 23 sorotipos mais prevalentes e é eficaz na proteção de adultos jovens, mas a falta de linfócitos T na resposta induzida inviabiliza a utilização em crianças menores de cinco anos, que em conjunto com os idosos são o grupo de risco para as doenças pneumocócicas. Para essa população, foram desenvolvidas vacinas conjugadas, pela fusão química de polissacarídeos a proteínas carreadoras. Licenciada em 2000 nos Estados Unidos a vacina pneumocócica 7- valente, demonstrou- se eficaz em crianças menores de 2 anos, porém uma limitada cobertura em diversos países, inclusive o Brasil devido ao reduzido número de polissacarídeos [13].</w:t>
      </w:r>
    </w:p>
    <w:p w14:paraId="262AE51B" w14:textId="11118A87" w:rsid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Formulações mais recentes incluem a vacina 10-valente disponibilizada nas unidades públicas de saúde do Brasil em 2010 e a 13-valente, disponível apenas nas unidades particulares [14,15]. Apesar dessas formulações terem uma cobertura maior que a 7-valente, o elevado custo para a produção e a substituição de sorotipos ainda limitam sua atividade profilática. Com isso diversas proteínas estão sendo estudadas, entre elas Proteína tríade histidina pneumocócica (</w:t>
      </w:r>
      <w:proofErr w:type="spellStart"/>
      <w:r w:rsidRPr="008A39B4">
        <w:rPr>
          <w:rFonts w:eastAsia="Calibri"/>
          <w:u w:val="none"/>
          <w:lang w:val="pt-BR" w:eastAsia="en-US"/>
        </w:rPr>
        <w:t>Pht</w:t>
      </w:r>
      <w:proofErr w:type="spellEnd"/>
      <w:r w:rsidRPr="008A39B4">
        <w:rPr>
          <w:rFonts w:eastAsia="Calibri"/>
          <w:u w:val="none"/>
          <w:lang w:val="pt-BR" w:eastAsia="en-US"/>
        </w:rPr>
        <w:t>), Proteína de superfície A de pneumococo (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), Proteína transportadora de </w:t>
      </w:r>
      <w:proofErr w:type="spellStart"/>
      <w:r w:rsidRPr="008A39B4">
        <w:rPr>
          <w:rFonts w:eastAsia="Calibri"/>
          <w:u w:val="none"/>
          <w:lang w:val="pt-BR" w:eastAsia="en-US"/>
        </w:rPr>
        <w:t>poliaminas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D (</w:t>
      </w:r>
      <w:proofErr w:type="spellStart"/>
      <w:r w:rsidRPr="008A39B4">
        <w:rPr>
          <w:rFonts w:eastAsia="Calibri"/>
          <w:u w:val="none"/>
          <w:lang w:val="pt-BR" w:eastAsia="en-US"/>
        </w:rPr>
        <w:t>PotD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), </w:t>
      </w:r>
      <w:proofErr w:type="spellStart"/>
      <w:r w:rsidRPr="008A39B4">
        <w:rPr>
          <w:rFonts w:eastAsia="Calibri"/>
          <w:u w:val="none"/>
          <w:lang w:val="pt-BR" w:eastAsia="en-US"/>
        </w:rPr>
        <w:t>Pneumolisina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</w:t>
      </w:r>
      <w:proofErr w:type="spellStart"/>
      <w:r w:rsidRPr="008A39B4">
        <w:rPr>
          <w:rFonts w:eastAsia="Calibri"/>
          <w:u w:val="none"/>
          <w:lang w:val="pt-BR" w:eastAsia="en-US"/>
        </w:rPr>
        <w:t>Ply</w:t>
      </w:r>
      <w:proofErr w:type="spellEnd"/>
      <w:r w:rsidRPr="008A39B4">
        <w:rPr>
          <w:rFonts w:eastAsia="Calibri"/>
          <w:u w:val="none"/>
          <w:lang w:val="pt-BR" w:eastAsia="en-US"/>
        </w:rPr>
        <w:t>) e Proteína de superfície C de pneumococo (</w:t>
      </w:r>
      <w:proofErr w:type="spellStart"/>
      <w:r w:rsidRPr="008A39B4">
        <w:rPr>
          <w:rFonts w:eastAsia="Calibri"/>
          <w:u w:val="none"/>
          <w:lang w:val="pt-BR" w:eastAsia="en-US"/>
        </w:rPr>
        <w:t>PspC</w:t>
      </w:r>
      <w:proofErr w:type="spellEnd"/>
      <w:r w:rsidRPr="008A39B4">
        <w:rPr>
          <w:rFonts w:eastAsia="Calibri"/>
          <w:u w:val="none"/>
          <w:lang w:val="pt-BR" w:eastAsia="en-US"/>
        </w:rPr>
        <w:t>), que são descritas como fatores virulência e também interagem com o Sistema Complemento, um importante mecanismo na eliminação do patógeno [16].</w:t>
      </w:r>
    </w:p>
    <w:p w14:paraId="68FC250C" w14:textId="77777777" w:rsidR="008A39B4" w:rsidRPr="008A39B4" w:rsidRDefault="008A39B4" w:rsidP="008A39B4"/>
    <w:p w14:paraId="4F880C57" w14:textId="7C8D4481" w:rsidR="008A39B4" w:rsidRP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lastRenderedPageBreak/>
        <w:t>Sistema Complemento</w:t>
      </w:r>
    </w:p>
    <w:p w14:paraId="5289F1E9" w14:textId="77777777" w:rsidR="008A39B4" w:rsidRPr="008A39B4" w:rsidRDefault="008A39B4" w:rsidP="008A39B4"/>
    <w:p w14:paraId="6B42E6CF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O Sistema Complemento é um importante mecanismo na imunidade humana; consiste em proteínas séricas em fase solúvel e outras expressas na superfície celular [17]. Este sistema é um conjunto de moléculas de reconhecimento presentes no plasma e líquidos intersticiais e responde rapidamente contra patógenos como bactérias, vírus, fungos e também tecidos danificados e células infectadas [18].</w:t>
      </w:r>
    </w:p>
    <w:p w14:paraId="009D8193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Há três vias de ativação do complemento, todas com o mesmo objetivo de eliminar o patógeno. A via clássica é dependente de anticorpos específicos, enquanto a via alternativa é ativada pelo reconhecimento de </w:t>
      </w:r>
      <w:proofErr w:type="spellStart"/>
      <w:r w:rsidRPr="008A39B4">
        <w:rPr>
          <w:rFonts w:eastAsia="Calibri"/>
          <w:u w:val="none"/>
          <w:lang w:val="pt-BR" w:eastAsia="en-US"/>
        </w:rPr>
        <w:t>lipopolissacarídeos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na membrana de patógenos e hidrólise espontânea de C3; a via das lectinas reconhece carboidratos na superfície dos microrganismos [19,20,21]. Após reconhecimento, ocorre uma cascata de clivagem com o objetivo de formar a C3 </w:t>
      </w:r>
      <w:proofErr w:type="spellStart"/>
      <w:r w:rsidRPr="008A39B4">
        <w:rPr>
          <w:rFonts w:eastAsia="Calibri"/>
          <w:u w:val="none"/>
          <w:lang w:val="pt-BR" w:eastAsia="en-US"/>
        </w:rPr>
        <w:t>convertase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(C4b2a). Essa enzima tem como função clivar C3 em C3a e C3b, sendo este último a principal opsonina do sistema complemento. A deposição de C3b na superfície do pneumococo promove seu reconhecimento e eliminação por fagocitose.</w:t>
      </w:r>
    </w:p>
    <w:p w14:paraId="358086F2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        As clivagens sequenciais do sistema complemento também geram partículas que atuam como </w:t>
      </w:r>
      <w:proofErr w:type="spellStart"/>
      <w:r w:rsidRPr="008A39B4">
        <w:rPr>
          <w:rFonts w:eastAsia="Calibri"/>
          <w:u w:val="none"/>
          <w:lang w:val="pt-BR" w:eastAsia="en-US"/>
        </w:rPr>
        <w:t>anafilotoxinas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amplificando a resposta inflamatória [21,22]. Esse sistema também promove a formação do complexo de ataque a membrana (MAC), que produz poros na membrana de microrganismos (particularmente bactérias Gram-negativas) levando à </w:t>
      </w:r>
      <w:proofErr w:type="spellStart"/>
      <w:r w:rsidRPr="008A39B4">
        <w:rPr>
          <w:rFonts w:eastAsia="Calibri"/>
          <w:u w:val="none"/>
          <w:lang w:val="pt-BR" w:eastAsia="en-US"/>
        </w:rPr>
        <w:t>lise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osmótica [23].</w:t>
      </w:r>
    </w:p>
    <w:p w14:paraId="1EC5C1A4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</w:p>
    <w:p w14:paraId="23A279B6" w14:textId="7067B60E" w:rsidR="008A39B4" w:rsidRP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>Sistema complemento e o pneumococo</w:t>
      </w:r>
    </w:p>
    <w:p w14:paraId="0A9E27C0" w14:textId="77777777" w:rsidR="008A39B4" w:rsidRPr="008A39B4" w:rsidRDefault="008A39B4" w:rsidP="008A39B4">
      <w:pPr>
        <w:pStyle w:val="PargrafodaLista"/>
        <w:ind w:left="705"/>
      </w:pPr>
    </w:p>
    <w:p w14:paraId="2B23F962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O sistema complemento é um mecanismo essencial para depuração pneumocócica do hospedeiro, que ocorre principalmente através da fagocitose [24], já que a bactéria é Gram-positiva, possuindo uma espessa camada de </w:t>
      </w:r>
      <w:proofErr w:type="spellStart"/>
      <w:r w:rsidRPr="008A39B4">
        <w:rPr>
          <w:rFonts w:eastAsia="Calibri"/>
          <w:u w:val="none"/>
          <w:lang w:val="pt-BR" w:eastAsia="en-US"/>
        </w:rPr>
        <w:t>peptideoglicano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que impede o ataque por MAC [25]. A depuração dos pneumococos é mediada principalmente por neutrófilos, que reconhecem anticorpos e opsoninas do sistema complemento através de receptores para a fração </w:t>
      </w:r>
      <w:proofErr w:type="spellStart"/>
      <w:r w:rsidRPr="008A39B4">
        <w:rPr>
          <w:rFonts w:eastAsia="Calibri"/>
          <w:u w:val="none"/>
          <w:lang w:val="pt-BR" w:eastAsia="en-US"/>
        </w:rPr>
        <w:t>Fc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para C3b, respectivamente. No interior dos neutrófilos, os pneumococos são mortos por </w:t>
      </w:r>
      <w:proofErr w:type="spellStart"/>
      <w:r w:rsidRPr="008A39B4">
        <w:rPr>
          <w:rFonts w:eastAsia="Calibri"/>
          <w:u w:val="none"/>
          <w:lang w:val="pt-BR" w:eastAsia="en-US"/>
        </w:rPr>
        <w:t>serino</w:t>
      </w:r>
      <w:proofErr w:type="spellEnd"/>
      <w:r w:rsidRPr="008A39B4">
        <w:rPr>
          <w:rFonts w:eastAsia="Calibri"/>
          <w:u w:val="none"/>
          <w:lang w:val="pt-BR" w:eastAsia="en-US"/>
        </w:rPr>
        <w:t>-proteases, peptídeos de ação antimicrobiana e espécies reativas de oxigênio presentes em seus grânulos [</w:t>
      </w:r>
      <w:commentRangeStart w:id="12"/>
      <w:r w:rsidRPr="008A39B4">
        <w:rPr>
          <w:rFonts w:eastAsia="Calibri"/>
          <w:u w:val="none"/>
          <w:lang w:val="pt-BR" w:eastAsia="en-US"/>
        </w:rPr>
        <w:t>26</w:t>
      </w:r>
      <w:commentRangeEnd w:id="12"/>
      <w:r w:rsidR="003F711A">
        <w:rPr>
          <w:rStyle w:val="Refdecomentrio"/>
          <w:rFonts w:ascii="Calibri" w:eastAsia="Calibri" w:hAnsi="Calibri"/>
          <w:u w:val="none"/>
          <w:lang w:val="pt-BR" w:eastAsia="en-US"/>
        </w:rPr>
        <w:commentReference w:id="12"/>
      </w:r>
      <w:r w:rsidRPr="008A39B4">
        <w:rPr>
          <w:rFonts w:eastAsia="Calibri"/>
          <w:u w:val="none"/>
          <w:lang w:val="pt-BR" w:eastAsia="en-US"/>
        </w:rPr>
        <w:t xml:space="preserve">]. </w:t>
      </w:r>
    </w:p>
    <w:p w14:paraId="1E22FC45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Indivíduos com deficiência nos componentes clássicos do complemento estão mais suscetíveis a infecções severas e recorrentes por pneumococos, ressaltando a importância desse sistema para a imunidade [27].</w:t>
      </w:r>
    </w:p>
    <w:p w14:paraId="3F34AA79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Para evitar o ataque por complemento, o patógeno tem múltiplos fatores de virulência, sendo os principais a cápsula de polissacarídeo e as proteínas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Pneumolisina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. A cápsula é capaz de inibir a ativação das vias clássica e da lectina e impede a clivagem de C3b em iC3b, e com isso reduz a capacidade de </w:t>
      </w:r>
      <w:proofErr w:type="spellStart"/>
      <w:r w:rsidRPr="008A39B4">
        <w:rPr>
          <w:rFonts w:eastAsia="Calibri"/>
          <w:u w:val="none"/>
          <w:lang w:val="pt-BR" w:eastAsia="en-US"/>
        </w:rPr>
        <w:t>opsonização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através do sistema complemento, desta forma protegendo o pneumococo- já que o mesmo não será reconhecido pelo sistema imunológico[28]. As proteínas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pneumolisina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também é capaz de inibir a deposição de complemento no pneumococo por diferentes mecanismos, conforme será discutido a seguir. </w:t>
      </w:r>
    </w:p>
    <w:p w14:paraId="627CC1C4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</w:p>
    <w:p w14:paraId="672265ED" w14:textId="5651A0C8" w:rsidR="008A39B4" w:rsidRP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>Proteína de superfície pneumocócica A (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i/>
          <w:u w:val="none"/>
          <w:lang w:val="pt-BR" w:eastAsia="en-US"/>
        </w:rPr>
        <w:t>)</w:t>
      </w:r>
    </w:p>
    <w:p w14:paraId="3DB14FDD" w14:textId="77777777" w:rsidR="008A39B4" w:rsidRPr="008A39B4" w:rsidRDefault="008A39B4" w:rsidP="008A39B4">
      <w:pPr>
        <w:pStyle w:val="PargrafodaLista"/>
        <w:ind w:left="705"/>
      </w:pPr>
    </w:p>
    <w:p w14:paraId="2DAD1A41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A proteína de superfície pneumocócica A (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) é de grande importância para a virulência bacteriana, está presente na superfície de todas as cepas e essa exposição permite uma ligação </w:t>
      </w:r>
      <w:r w:rsidRPr="008A39B4">
        <w:rPr>
          <w:rFonts w:eastAsia="Calibri"/>
          <w:u w:val="none"/>
          <w:lang w:val="pt-BR" w:eastAsia="en-US"/>
        </w:rPr>
        <w:lastRenderedPageBreak/>
        <w:t xml:space="preserve">eficiente dos anticorpos[29,30].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dificulta a deposição de C3b na superfície bacteriana impossibilitando o reconhecimento do pneumococo pelos receptores de complemento nos fagócitos [31]. Um estudo utilizando camundongos com deficiência no fator B (</w:t>
      </w:r>
      <w:proofErr w:type="spellStart"/>
      <w:r w:rsidRPr="008A39B4">
        <w:rPr>
          <w:rFonts w:eastAsia="Calibri"/>
          <w:u w:val="none"/>
          <w:lang w:val="pt-BR" w:eastAsia="en-US"/>
        </w:rPr>
        <w:t>pré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–ativador de C3) e pneumococos mutantes que não expressam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mostrou que </w:t>
      </w:r>
      <w:proofErr w:type="spellStart"/>
      <w:r w:rsidRPr="008A39B4">
        <w:rPr>
          <w:rFonts w:eastAsia="Calibri"/>
          <w:u w:val="none"/>
          <w:lang w:val="pt-BR" w:eastAsia="en-US"/>
        </w:rPr>
        <w:t>esta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proteína inibe a ativação do complemento pela via alternativa; pneumococos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negativos – que são </w:t>
      </w:r>
      <w:proofErr w:type="spellStart"/>
      <w:r w:rsidRPr="008A39B4">
        <w:rPr>
          <w:rFonts w:eastAsia="Calibri"/>
          <w:u w:val="none"/>
          <w:lang w:val="pt-BR" w:eastAsia="en-US"/>
        </w:rPr>
        <w:t>avirulentos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em modelo de sepse -  retomam sua capacidade invasiva quando há ausência de fator B nos camundongos [32,33].</w:t>
      </w:r>
    </w:p>
    <w:p w14:paraId="64D4EB54" w14:textId="5BFEDFA4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Além disso,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inibe a ativação do complemento pela via clássica pois recobre os resíduos de colina na parede celular bacteriana. A colina é reconhecida pela proteína </w:t>
      </w:r>
      <w:proofErr w:type="spellStart"/>
      <w:r w:rsidRPr="008A39B4">
        <w:rPr>
          <w:rFonts w:eastAsia="Calibri"/>
          <w:u w:val="none"/>
          <w:lang w:val="pt-BR" w:eastAsia="en-US"/>
        </w:rPr>
        <w:t>C-reativa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(CRP) que é um ativador de C1q e este promove ativação da cascata do complemento. Na presença de </w:t>
      </w:r>
      <w:proofErr w:type="spellStart"/>
      <w:proofErr w:type="gram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proofErr w:type="gramEnd"/>
      <w:r w:rsidRPr="008A39B4">
        <w:rPr>
          <w:rFonts w:eastAsia="Calibri"/>
          <w:u w:val="none"/>
          <w:lang w:val="pt-BR" w:eastAsia="en-US"/>
        </w:rPr>
        <w:t xml:space="preserve"> porém, isso não ocorre, já que a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recobre os resíduos de colina e dessa forma a CRP não consegue identificar a colina [32,33].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principalmente a região N-terminal da molécula, demostrou ser protetora em diversos modelos animais [34]. A proteína se mostrou parcialmente conservada e chegou a ensaios clínicos de fase I em 2000, (um representante da família 1) por conta da sua proteção em camundongos, os resultados confirmaram que a proteína é segura e imunogênica. Após foi testado com mais duas proteínas (família 1 e 3) combinado com a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que cobriram 90%. [54].</w:t>
      </w:r>
    </w:p>
    <w:p w14:paraId="5754ECCD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Com a exposição natural ao patógeno induz a produção de </w:t>
      </w:r>
      <w:proofErr w:type="spellStart"/>
      <w:r w:rsidRPr="008A39B4">
        <w:rPr>
          <w:rFonts w:eastAsia="Calibri"/>
          <w:u w:val="none"/>
          <w:lang w:val="pt-BR" w:eastAsia="en-US"/>
        </w:rPr>
        <w:t>anti-PspA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porém a imunização humana com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foi capaz de produzir anticorpos que conseguiu reconhecer cepas pneumocócicas com diferentes famílias da proteína, no entanto a imunização com a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recombinante intensifica a resposta[55]. Mas apesar disso há uma preocupação da reatividade de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com miosina, que ainda não foi descrito na literatura, mesmo assim continua sendo um importante candidato vacinal [54,55].</w:t>
      </w:r>
    </w:p>
    <w:p w14:paraId="700D54E7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</w:p>
    <w:p w14:paraId="4A7F195A" w14:textId="2656586A" w:rsidR="008A39B4" w:rsidRP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proofErr w:type="spellStart"/>
      <w:r w:rsidRPr="008A39B4">
        <w:rPr>
          <w:rFonts w:eastAsia="Calibri"/>
          <w:i/>
          <w:u w:val="none"/>
          <w:lang w:val="pt-BR" w:eastAsia="en-US"/>
        </w:rPr>
        <w:t>Pneumolisina</w:t>
      </w:r>
      <w:proofErr w:type="spellEnd"/>
      <w:r w:rsidRPr="008A39B4">
        <w:rPr>
          <w:rFonts w:eastAsia="Calibri"/>
          <w:i/>
          <w:u w:val="none"/>
          <w:lang w:val="pt-BR" w:eastAsia="en-US"/>
        </w:rPr>
        <w:t xml:space="preserve"> (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Ply</w:t>
      </w:r>
      <w:proofErr w:type="spellEnd"/>
      <w:r w:rsidRPr="008A39B4">
        <w:rPr>
          <w:rFonts w:eastAsia="Calibri"/>
          <w:i/>
          <w:u w:val="none"/>
          <w:lang w:val="pt-BR" w:eastAsia="en-US"/>
        </w:rPr>
        <w:t>)</w:t>
      </w:r>
    </w:p>
    <w:p w14:paraId="4F7DC0B2" w14:textId="77777777" w:rsidR="008A39B4" w:rsidRPr="008A39B4" w:rsidRDefault="008A39B4" w:rsidP="008A39B4">
      <w:pPr>
        <w:pStyle w:val="PargrafodaLista"/>
        <w:ind w:left="705"/>
      </w:pPr>
    </w:p>
    <w:p w14:paraId="08FC8038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É uma citolisina que está presente na parede celular do pneumococo, e que apresenta uma ação em membranas contendo colesterol. </w:t>
      </w:r>
      <w:proofErr w:type="spellStart"/>
      <w:r w:rsidRPr="008A39B4">
        <w:rPr>
          <w:rFonts w:eastAsia="Calibri"/>
          <w:u w:val="none"/>
          <w:lang w:val="pt-BR" w:eastAsia="en-US"/>
        </w:rPr>
        <w:t>Ply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interfere no sistema imunológico do hospedeiro, incluindo a ativação do sistema complemento, indução de apoptose e capacidade de formar poros promovendo lise nas células do hospedeiro; </w:t>
      </w:r>
      <w:proofErr w:type="spellStart"/>
      <w:r w:rsidRPr="008A39B4">
        <w:rPr>
          <w:rFonts w:eastAsia="Calibri"/>
          <w:u w:val="none"/>
          <w:lang w:val="pt-BR" w:eastAsia="en-US"/>
        </w:rPr>
        <w:t>Ply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também estimula a produção de citocinas pró-inflamatórias, como TNF e IL-1β, [35,36] e é capaz de interagir com o receptor TLR-4, sugerindo um possível efeito adjuvante [37].</w:t>
      </w:r>
    </w:p>
    <w:p w14:paraId="59CF94BF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Na sua forma nativa, </w:t>
      </w:r>
      <w:proofErr w:type="spellStart"/>
      <w:r w:rsidRPr="008A39B4">
        <w:rPr>
          <w:rFonts w:eastAsia="Calibri"/>
          <w:u w:val="none"/>
          <w:lang w:val="pt-BR" w:eastAsia="en-US"/>
        </w:rPr>
        <w:t>Ply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apresenta elevada toxicidade, uma molécula </w:t>
      </w:r>
      <w:proofErr w:type="spellStart"/>
      <w:r w:rsidRPr="008A39B4">
        <w:rPr>
          <w:rFonts w:eastAsia="Calibri"/>
          <w:u w:val="none"/>
          <w:lang w:val="pt-BR" w:eastAsia="en-US"/>
        </w:rPr>
        <w:t>detoxificada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produzida por Berry e </w:t>
      </w:r>
      <w:proofErr w:type="spellStart"/>
      <w:r w:rsidRPr="008A39B4">
        <w:rPr>
          <w:rFonts w:eastAsia="Calibri"/>
          <w:u w:val="none"/>
          <w:lang w:val="pt-BR" w:eastAsia="en-US"/>
        </w:rPr>
        <w:t>cols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pela substituição da His na posição 367 por </w:t>
      </w:r>
      <w:proofErr w:type="spellStart"/>
      <w:r w:rsidRPr="008A39B4">
        <w:rPr>
          <w:rFonts w:eastAsia="Calibri"/>
          <w:u w:val="none"/>
          <w:lang w:val="pt-BR" w:eastAsia="en-US"/>
        </w:rPr>
        <w:t>Arg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mostrou redução na toxicidade para 0,2%, mantendo a capacidade de ativação do sistema complemento [38]. Esta molécula mutante foi produzida por nosso grupo, tendo sido denominada PlD1, e demonstrou proteção contra doença invasiva quando fusionada a um fragmento N-terminal de </w:t>
      </w:r>
      <w:proofErr w:type="spellStart"/>
      <w:r w:rsidRPr="008A39B4">
        <w:rPr>
          <w:rFonts w:eastAsia="Calibri"/>
          <w:u w:val="none"/>
          <w:lang w:val="pt-BR" w:eastAsia="en-US"/>
        </w:rPr>
        <w:t>PspA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[39].</w:t>
      </w:r>
    </w:p>
    <w:p w14:paraId="0B8A4A44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</w:p>
    <w:p w14:paraId="534FD53D" w14:textId="24A6C6FF" w:rsidR="008A39B4" w:rsidRP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>Proteína Tríade de Histidina Pneumocócica (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Pht</w:t>
      </w:r>
      <w:proofErr w:type="spellEnd"/>
      <w:r w:rsidRPr="008A39B4">
        <w:rPr>
          <w:rFonts w:eastAsia="Calibri"/>
          <w:i/>
          <w:u w:val="none"/>
          <w:lang w:val="pt-BR" w:eastAsia="en-US"/>
        </w:rPr>
        <w:t>)</w:t>
      </w:r>
    </w:p>
    <w:p w14:paraId="1BEB158F" w14:textId="77777777" w:rsidR="008A39B4" w:rsidRPr="008A39B4" w:rsidRDefault="008A39B4" w:rsidP="008A39B4">
      <w:pPr>
        <w:pStyle w:val="PargrafodaLista"/>
        <w:ind w:left="705"/>
      </w:pPr>
    </w:p>
    <w:p w14:paraId="38B46A64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>As Proteínas Tríade de Histidina Pneumocócica (</w:t>
      </w:r>
      <w:proofErr w:type="spellStart"/>
      <w:r w:rsidRPr="008A39B4">
        <w:rPr>
          <w:rFonts w:eastAsia="Calibri"/>
          <w:u w:val="none"/>
          <w:lang w:val="pt-BR" w:eastAsia="en-US"/>
        </w:rPr>
        <w:t>Pht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) são uma família de proteínas que estão expressas na superfície de S. </w:t>
      </w:r>
      <w:commentRangeStart w:id="13"/>
      <w:proofErr w:type="spellStart"/>
      <w:r w:rsidRPr="008A39B4">
        <w:rPr>
          <w:rFonts w:eastAsia="Calibri"/>
          <w:u w:val="none"/>
          <w:lang w:val="pt-BR" w:eastAsia="en-US"/>
        </w:rPr>
        <w:t>pneumoniae</w:t>
      </w:r>
      <w:commentRangeEnd w:id="13"/>
      <w:proofErr w:type="spellEnd"/>
      <w:r w:rsidR="003F711A">
        <w:rPr>
          <w:rStyle w:val="Refdecomentrio"/>
          <w:rFonts w:ascii="Calibri" w:eastAsia="Calibri" w:hAnsi="Calibri"/>
          <w:u w:val="none"/>
          <w:lang w:val="pt-BR" w:eastAsia="en-US"/>
        </w:rPr>
        <w:commentReference w:id="13"/>
      </w:r>
      <w:r w:rsidRPr="008A39B4">
        <w:rPr>
          <w:rFonts w:eastAsia="Calibri"/>
          <w:u w:val="none"/>
          <w:lang w:val="pt-BR" w:eastAsia="en-US"/>
        </w:rPr>
        <w:t xml:space="preserve">, e apresentam tríades de histidina repetidas de 5 a 6 vezes em sua sequência de aminoácidos [40]. Esta família foi dividida em quatro integrantes de acordo com a estrutura: </w:t>
      </w:r>
      <w:proofErr w:type="spellStart"/>
      <w:r w:rsidRPr="008A39B4">
        <w:rPr>
          <w:rFonts w:eastAsia="Calibri"/>
          <w:u w:val="none"/>
          <w:lang w:val="pt-BR" w:eastAsia="en-US"/>
        </w:rPr>
        <w:t>PhtA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(BVH-11-3), </w:t>
      </w:r>
      <w:proofErr w:type="spellStart"/>
      <w:r w:rsidRPr="008A39B4">
        <w:rPr>
          <w:rFonts w:eastAsia="Calibri"/>
          <w:u w:val="none"/>
          <w:lang w:val="pt-BR" w:eastAsia="en-US"/>
        </w:rPr>
        <w:t>PhtB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</w:t>
      </w:r>
      <w:proofErr w:type="spellStart"/>
      <w:r w:rsidRPr="008A39B4">
        <w:rPr>
          <w:rFonts w:eastAsia="Calibri"/>
          <w:u w:val="none"/>
          <w:lang w:val="pt-BR" w:eastAsia="en-US"/>
        </w:rPr>
        <w:t>PhpA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/BVH-11), </w:t>
      </w:r>
      <w:proofErr w:type="spellStart"/>
      <w:r w:rsidRPr="008A39B4">
        <w:rPr>
          <w:rFonts w:eastAsia="Calibri"/>
          <w:u w:val="none"/>
          <w:lang w:val="pt-BR" w:eastAsia="en-US"/>
        </w:rPr>
        <w:t>PhtD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(BVH-11-2) e </w:t>
      </w:r>
      <w:proofErr w:type="spellStart"/>
      <w:r w:rsidRPr="008A39B4">
        <w:rPr>
          <w:rFonts w:eastAsia="Calibri"/>
          <w:u w:val="none"/>
          <w:lang w:val="pt-BR" w:eastAsia="en-US"/>
        </w:rPr>
        <w:t>PhtE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(BVH-3). </w:t>
      </w:r>
      <w:proofErr w:type="spellStart"/>
      <w:r w:rsidRPr="008A39B4">
        <w:rPr>
          <w:rFonts w:eastAsia="Calibri"/>
          <w:u w:val="none"/>
          <w:lang w:val="pt-BR" w:eastAsia="en-US"/>
        </w:rPr>
        <w:t>PhtA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</w:t>
      </w:r>
      <w:proofErr w:type="spellStart"/>
      <w:r w:rsidRPr="008A39B4">
        <w:rPr>
          <w:rFonts w:eastAsia="Calibri"/>
          <w:u w:val="none"/>
          <w:lang w:val="pt-BR" w:eastAsia="en-US"/>
        </w:rPr>
        <w:t>PhtB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PhtD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apresentam 5 repetições de tríades de histidina e compartilham 81% de identidade em suas sequências de aminoácidos. </w:t>
      </w:r>
      <w:proofErr w:type="spellStart"/>
      <w:r w:rsidRPr="008A39B4">
        <w:rPr>
          <w:rFonts w:eastAsia="Calibri"/>
          <w:u w:val="none"/>
          <w:lang w:val="pt-BR" w:eastAsia="en-US"/>
        </w:rPr>
        <w:t>PhtB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PhtD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se mostraram mais intimamente relacionadas, compartilhando 87,2 % de identidade, enquanto </w:t>
      </w:r>
      <w:proofErr w:type="spellStart"/>
      <w:r w:rsidRPr="008A39B4">
        <w:rPr>
          <w:rFonts w:eastAsia="Calibri"/>
          <w:u w:val="none"/>
          <w:lang w:val="pt-BR" w:eastAsia="en-US"/>
        </w:rPr>
        <w:t>PhtE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apenas 35% </w:t>
      </w:r>
      <w:r w:rsidRPr="008A39B4">
        <w:rPr>
          <w:rFonts w:eastAsia="Calibri"/>
          <w:u w:val="none"/>
          <w:lang w:val="pt-BR" w:eastAsia="en-US"/>
        </w:rPr>
        <w:lastRenderedPageBreak/>
        <w:t>de similaridade em relação às outras três proteínas, e é a única a apresentar seis repetições de tríades de histidina[41].</w:t>
      </w:r>
    </w:p>
    <w:p w14:paraId="7C624103" w14:textId="70A75E62" w:rsid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Em consequência do elevado número de histidina nas tríades, tem se sugerido que essas proteínas se ligam a </w:t>
      </w:r>
      <w:proofErr w:type="spellStart"/>
      <w:r w:rsidRPr="008A39B4">
        <w:rPr>
          <w:rFonts w:eastAsia="Calibri"/>
          <w:u w:val="none"/>
          <w:lang w:val="pt-BR" w:eastAsia="en-US"/>
        </w:rPr>
        <w:t>nucleosídeos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ou a metais, dessa forma as </w:t>
      </w:r>
      <w:proofErr w:type="spellStart"/>
      <w:r w:rsidRPr="008A39B4">
        <w:rPr>
          <w:rFonts w:eastAsia="Calibri"/>
          <w:u w:val="none"/>
          <w:lang w:val="pt-BR" w:eastAsia="en-US"/>
        </w:rPr>
        <w:t>Phts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parecem estar envolvidas em diferentes etapas da infecção[40]. As </w:t>
      </w:r>
      <w:proofErr w:type="spellStart"/>
      <w:r w:rsidRPr="008A39B4">
        <w:rPr>
          <w:rFonts w:eastAsia="Calibri"/>
          <w:u w:val="none"/>
          <w:lang w:val="pt-BR" w:eastAsia="en-US"/>
        </w:rPr>
        <w:t>Phts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têm uma interação com zinco e inibem a deposição do complemento C3b na superfície bacteriana; </w:t>
      </w:r>
      <w:proofErr w:type="spellStart"/>
      <w:r w:rsidRPr="008A39B4">
        <w:rPr>
          <w:rFonts w:eastAsia="Calibri"/>
          <w:u w:val="none"/>
          <w:lang w:val="pt-BR" w:eastAsia="en-US"/>
        </w:rPr>
        <w:t>PhtD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em particular, possui a menor variabilidade com uma identidade de 97 a 100% em diferentes cepas. A imunização de camundongos com derivados truncados da metade C-terminal de </w:t>
      </w:r>
      <w:proofErr w:type="spellStart"/>
      <w:r w:rsidRPr="008A39B4">
        <w:rPr>
          <w:rFonts w:eastAsia="Calibri"/>
          <w:u w:val="none"/>
          <w:lang w:val="pt-BR" w:eastAsia="en-US"/>
        </w:rPr>
        <w:t>PhtD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aumentou consideravelmente seu tempo de sobrevivência em comparação com a proteína íntegra. Em estudo recente do nosso grupo, os fragmentos terminais de </w:t>
      </w:r>
      <w:proofErr w:type="spellStart"/>
      <w:r w:rsidRPr="008A39B4">
        <w:rPr>
          <w:rFonts w:eastAsia="Calibri"/>
          <w:u w:val="none"/>
          <w:lang w:val="pt-BR" w:eastAsia="en-US"/>
        </w:rPr>
        <w:t>PhtD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também se mostraram protetores em modelo de colonização por pneumococo, um resultado associado à produção de elevados níveis de IL-17 e de anticorpos capazes de aumentar a fagocitose da bactéria[56]. Efetivamente, as </w:t>
      </w:r>
      <w:proofErr w:type="spellStart"/>
      <w:r w:rsidRPr="008A39B4">
        <w:rPr>
          <w:rFonts w:eastAsia="Calibri"/>
          <w:u w:val="none"/>
          <w:lang w:val="pt-BR" w:eastAsia="en-US"/>
        </w:rPr>
        <w:t>Phts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tem sido considerada candidatas vacinais promissoras[42-46].</w:t>
      </w:r>
    </w:p>
    <w:p w14:paraId="5FDCD787" w14:textId="77777777" w:rsidR="008A39B4" w:rsidRPr="008A39B4" w:rsidRDefault="008A39B4" w:rsidP="008A39B4"/>
    <w:p w14:paraId="60650341" w14:textId="45B86112" w:rsidR="008A39B4" w:rsidRPr="008A39B4" w:rsidRDefault="008A39B4" w:rsidP="008A39B4">
      <w:pPr>
        <w:pStyle w:val="Ttulo2"/>
        <w:numPr>
          <w:ilvl w:val="1"/>
          <w:numId w:val="6"/>
        </w:numPr>
        <w:spacing w:line="240" w:lineRule="auto"/>
        <w:rPr>
          <w:rFonts w:eastAsia="Calibri"/>
          <w:i/>
          <w:u w:val="none"/>
          <w:lang w:val="pt-BR" w:eastAsia="en-US"/>
        </w:rPr>
      </w:pPr>
      <w:r w:rsidRPr="008A39B4">
        <w:rPr>
          <w:rFonts w:eastAsia="Calibri"/>
          <w:i/>
          <w:u w:val="none"/>
          <w:lang w:val="pt-BR" w:eastAsia="en-US"/>
        </w:rPr>
        <w:t xml:space="preserve">Proteína Transportadora de 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Poliaminas</w:t>
      </w:r>
      <w:proofErr w:type="spellEnd"/>
      <w:r w:rsidRPr="008A39B4">
        <w:rPr>
          <w:rFonts w:eastAsia="Calibri"/>
          <w:i/>
          <w:u w:val="none"/>
          <w:lang w:val="pt-BR" w:eastAsia="en-US"/>
        </w:rPr>
        <w:t xml:space="preserve"> D (</w:t>
      </w:r>
      <w:proofErr w:type="spellStart"/>
      <w:r w:rsidRPr="008A39B4">
        <w:rPr>
          <w:rFonts w:eastAsia="Calibri"/>
          <w:i/>
          <w:u w:val="none"/>
          <w:lang w:val="pt-BR" w:eastAsia="en-US"/>
        </w:rPr>
        <w:t>PotD</w:t>
      </w:r>
      <w:proofErr w:type="spellEnd"/>
      <w:r w:rsidRPr="008A39B4">
        <w:rPr>
          <w:rFonts w:eastAsia="Calibri"/>
          <w:i/>
          <w:u w:val="none"/>
          <w:lang w:val="pt-BR" w:eastAsia="en-US"/>
        </w:rPr>
        <w:t>)</w:t>
      </w:r>
    </w:p>
    <w:p w14:paraId="171CC4D8" w14:textId="77777777" w:rsidR="008A39B4" w:rsidRPr="008A39B4" w:rsidRDefault="008A39B4" w:rsidP="008A39B4">
      <w:pPr>
        <w:pStyle w:val="PargrafodaLista"/>
        <w:ind w:left="705"/>
      </w:pPr>
    </w:p>
    <w:p w14:paraId="1E3AB57F" w14:textId="77777777" w:rsidR="008A39B4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proofErr w:type="spellStart"/>
      <w:r w:rsidRPr="008A39B4">
        <w:rPr>
          <w:rFonts w:eastAsia="Calibri"/>
          <w:u w:val="none"/>
          <w:lang w:val="pt-BR" w:eastAsia="en-US"/>
        </w:rPr>
        <w:t>Poliaminas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são moléculas pequenas catiônicas e ubíquos, que são responsáveis pelo desenvolvimento e virulência do pneumococo, e são transportadas através da membrana por um complexo proteico </w:t>
      </w:r>
      <w:proofErr w:type="spellStart"/>
      <w:r w:rsidRPr="008A39B4">
        <w:rPr>
          <w:rFonts w:eastAsia="Calibri"/>
          <w:u w:val="none"/>
          <w:lang w:val="pt-BR" w:eastAsia="en-US"/>
        </w:rPr>
        <w:t>PotABCD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. Os genes do </w:t>
      </w:r>
      <w:proofErr w:type="spellStart"/>
      <w:r w:rsidRPr="008A39B4">
        <w:rPr>
          <w:rFonts w:eastAsia="Calibri"/>
          <w:u w:val="none"/>
          <w:lang w:val="pt-BR" w:eastAsia="en-US"/>
        </w:rPr>
        <w:t>operon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</w:t>
      </w:r>
      <w:proofErr w:type="spellStart"/>
      <w:r w:rsidRPr="008A39B4">
        <w:rPr>
          <w:rFonts w:eastAsia="Calibri"/>
          <w:u w:val="none"/>
          <w:lang w:val="pt-BR" w:eastAsia="en-US"/>
        </w:rPr>
        <w:t>Pot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são altamente conservados entre os diferentes sorotipos da bactéria, e compreendem a uma </w:t>
      </w:r>
      <w:proofErr w:type="spellStart"/>
      <w:r w:rsidRPr="008A39B4">
        <w:rPr>
          <w:rFonts w:eastAsia="Calibri"/>
          <w:u w:val="none"/>
          <w:lang w:val="pt-BR" w:eastAsia="en-US"/>
        </w:rPr>
        <w:t>ATPase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</w:t>
      </w:r>
      <w:proofErr w:type="spellStart"/>
      <w:r w:rsidRPr="008A39B4">
        <w:rPr>
          <w:rFonts w:eastAsia="Calibri"/>
          <w:u w:val="none"/>
          <w:lang w:val="pt-BR" w:eastAsia="en-US"/>
        </w:rPr>
        <w:t>citosólica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associada a membrana (</w:t>
      </w:r>
      <w:proofErr w:type="spellStart"/>
      <w:r w:rsidRPr="008A39B4">
        <w:rPr>
          <w:rFonts w:eastAsia="Calibri"/>
          <w:u w:val="none"/>
          <w:lang w:val="pt-BR" w:eastAsia="en-US"/>
        </w:rPr>
        <w:t>PotA</w:t>
      </w:r>
      <w:proofErr w:type="spellEnd"/>
      <w:r w:rsidRPr="008A39B4">
        <w:rPr>
          <w:rFonts w:eastAsia="Calibri"/>
          <w:u w:val="none"/>
          <w:lang w:val="pt-BR" w:eastAsia="en-US"/>
        </w:rPr>
        <w:t>), proteínas formadoras de canais transmembranas (</w:t>
      </w:r>
      <w:proofErr w:type="spellStart"/>
      <w:r w:rsidRPr="008A39B4">
        <w:rPr>
          <w:rFonts w:eastAsia="Calibri"/>
          <w:u w:val="none"/>
          <w:lang w:val="pt-BR" w:eastAsia="en-US"/>
        </w:rPr>
        <w:t>PotB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PotC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) e reconhecimento de </w:t>
      </w:r>
      <w:proofErr w:type="spellStart"/>
      <w:r w:rsidRPr="008A39B4">
        <w:rPr>
          <w:rFonts w:eastAsia="Calibri"/>
          <w:u w:val="none"/>
          <w:lang w:val="pt-BR" w:eastAsia="en-US"/>
        </w:rPr>
        <w:t>poliamina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extracelular (</w:t>
      </w:r>
      <w:proofErr w:type="spellStart"/>
      <w:r w:rsidRPr="008A39B4">
        <w:rPr>
          <w:rFonts w:eastAsia="Calibri"/>
          <w:u w:val="none"/>
          <w:lang w:val="pt-BR" w:eastAsia="en-US"/>
        </w:rPr>
        <w:t>PotD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). As </w:t>
      </w:r>
      <w:proofErr w:type="spellStart"/>
      <w:r w:rsidRPr="008A39B4">
        <w:rPr>
          <w:rFonts w:eastAsia="Calibri"/>
          <w:u w:val="none"/>
          <w:lang w:val="pt-BR" w:eastAsia="en-US"/>
        </w:rPr>
        <w:t>poliaminas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intracelulares mais comum são: </w:t>
      </w:r>
      <w:proofErr w:type="spellStart"/>
      <w:r w:rsidRPr="008A39B4">
        <w:rPr>
          <w:rFonts w:eastAsia="Calibri"/>
          <w:u w:val="none"/>
          <w:lang w:val="pt-BR" w:eastAsia="en-US"/>
        </w:rPr>
        <w:t>putrescina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, </w:t>
      </w:r>
      <w:proofErr w:type="spellStart"/>
      <w:r w:rsidRPr="008A39B4">
        <w:rPr>
          <w:rFonts w:eastAsia="Calibri"/>
          <w:u w:val="none"/>
          <w:lang w:val="pt-BR" w:eastAsia="en-US"/>
        </w:rPr>
        <w:t>espermidina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cadavarin</w:t>
      </w:r>
      <w:proofErr w:type="spellEnd"/>
      <w:r w:rsidRPr="008A39B4">
        <w:rPr>
          <w:rFonts w:eastAsia="Calibri"/>
          <w:u w:val="none"/>
          <w:lang w:val="pt-BR" w:eastAsia="en-US"/>
        </w:rPr>
        <w:t>.  [47,48,49].</w:t>
      </w:r>
    </w:p>
    <w:p w14:paraId="3DDDE89B" w14:textId="2C04C1F1" w:rsidR="005D1AC9" w:rsidRPr="008A39B4" w:rsidRDefault="008A39B4" w:rsidP="008A39B4">
      <w:pPr>
        <w:pStyle w:val="Ttulo2"/>
        <w:spacing w:line="240" w:lineRule="auto"/>
        <w:rPr>
          <w:rFonts w:eastAsia="Calibri"/>
          <w:u w:val="none"/>
          <w:lang w:val="pt-BR" w:eastAsia="en-US"/>
        </w:rPr>
      </w:pPr>
      <w:r w:rsidRPr="008A39B4">
        <w:rPr>
          <w:rFonts w:eastAsia="Calibri"/>
          <w:u w:val="none"/>
          <w:lang w:val="pt-BR" w:eastAsia="en-US"/>
        </w:rPr>
        <w:t xml:space="preserve">Nas bactérias, as </w:t>
      </w:r>
      <w:proofErr w:type="spellStart"/>
      <w:r w:rsidRPr="008A39B4">
        <w:rPr>
          <w:rFonts w:eastAsia="Calibri"/>
          <w:u w:val="none"/>
          <w:lang w:val="pt-BR" w:eastAsia="en-US"/>
        </w:rPr>
        <w:t>poliaminas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estão envolvidas na eliminação do ferro e dos radicais livres, conferindo resistência aos ácidos, promovendo a formação de biofilme e consequentemente ajudando a escapar dos </w:t>
      </w:r>
      <w:proofErr w:type="spellStart"/>
      <w:r w:rsidRPr="008A39B4">
        <w:rPr>
          <w:rFonts w:eastAsia="Calibri"/>
          <w:u w:val="none"/>
          <w:lang w:val="pt-BR" w:eastAsia="en-US"/>
        </w:rPr>
        <w:t>fagolisossomos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interações com vários componentes dos envelopes celulares [48,50]. Em camundongos a vacinação com </w:t>
      </w:r>
      <w:proofErr w:type="spellStart"/>
      <w:r w:rsidRPr="008A39B4">
        <w:rPr>
          <w:rFonts w:eastAsia="Calibri"/>
          <w:u w:val="none"/>
          <w:lang w:val="pt-BR" w:eastAsia="en-US"/>
        </w:rPr>
        <w:t>PotD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resultou em uma proteção na colonização, pneumonia pneumocócica e sepse. E a exclusão dessa proteína em um pneumococo tipo 3 desencadeou uma grave atenuação na virulência em modelos sistêmicos e pulmonares da doença pneumocócica [51,52]. Dessa forma o importante papel do </w:t>
      </w:r>
      <w:proofErr w:type="spellStart"/>
      <w:r w:rsidRPr="008A39B4">
        <w:rPr>
          <w:rFonts w:eastAsia="Calibri"/>
          <w:u w:val="none"/>
          <w:lang w:val="pt-BR" w:eastAsia="en-US"/>
        </w:rPr>
        <w:t>PotD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no crescimento e virulência do pneumococo e sua localização são promissores para novas vacinas e sua eficácia aumenta em combinação com outras. </w:t>
      </w:r>
      <w:commentRangeStart w:id="14"/>
      <w:r w:rsidRPr="008A39B4">
        <w:rPr>
          <w:rFonts w:eastAsia="Calibri"/>
          <w:u w:val="none"/>
          <w:lang w:val="pt-BR" w:eastAsia="en-US"/>
        </w:rPr>
        <w:t>Portanto</w:t>
      </w:r>
      <w:commentRangeEnd w:id="14"/>
      <w:r w:rsidR="003F711A">
        <w:rPr>
          <w:rStyle w:val="Refdecomentrio"/>
          <w:rFonts w:ascii="Calibri" w:eastAsia="Calibri" w:hAnsi="Calibri"/>
          <w:u w:val="none"/>
          <w:lang w:val="pt-BR" w:eastAsia="en-US"/>
        </w:rPr>
        <w:commentReference w:id="14"/>
      </w:r>
      <w:r w:rsidRPr="008A39B4">
        <w:rPr>
          <w:rFonts w:eastAsia="Calibri"/>
          <w:u w:val="none"/>
          <w:lang w:val="pt-BR" w:eastAsia="en-US"/>
        </w:rPr>
        <w:t>, este trabalho busca avaliar a o potencial de vacinas a base de proteínas (</w:t>
      </w:r>
      <w:proofErr w:type="spellStart"/>
      <w:proofErr w:type="gramStart"/>
      <w:r w:rsidRPr="008A39B4">
        <w:rPr>
          <w:rFonts w:eastAsia="Calibri"/>
          <w:u w:val="none"/>
          <w:lang w:val="pt-BR" w:eastAsia="en-US"/>
        </w:rPr>
        <w:t>PspA,PhtD</w:t>
      </w:r>
      <w:proofErr w:type="gramEnd"/>
      <w:r w:rsidRPr="008A39B4">
        <w:rPr>
          <w:rFonts w:eastAsia="Calibri"/>
          <w:u w:val="none"/>
          <w:lang w:val="pt-BR" w:eastAsia="en-US"/>
        </w:rPr>
        <w:t>,Ply</w:t>
      </w:r>
      <w:proofErr w:type="spellEnd"/>
      <w:r w:rsidRPr="008A39B4">
        <w:rPr>
          <w:rFonts w:eastAsia="Calibri"/>
          <w:u w:val="none"/>
          <w:lang w:val="pt-BR" w:eastAsia="en-US"/>
        </w:rPr>
        <w:t xml:space="preserve"> e </w:t>
      </w:r>
      <w:proofErr w:type="spellStart"/>
      <w:r w:rsidRPr="008A39B4">
        <w:rPr>
          <w:rFonts w:eastAsia="Calibri"/>
          <w:u w:val="none"/>
          <w:lang w:val="pt-BR" w:eastAsia="en-US"/>
        </w:rPr>
        <w:t>PotD</w:t>
      </w:r>
      <w:proofErr w:type="spellEnd"/>
      <w:r w:rsidRPr="008A39B4">
        <w:rPr>
          <w:rFonts w:eastAsia="Calibri"/>
          <w:u w:val="none"/>
          <w:lang w:val="pt-BR" w:eastAsia="en-US"/>
        </w:rPr>
        <w:t>), com perspectiva de produção de anticorpos e ativação do sistema complemento.</w:t>
      </w:r>
    </w:p>
    <w:p w14:paraId="0531684A" w14:textId="77777777" w:rsidR="005D1AC9" w:rsidRPr="007B117A" w:rsidRDefault="005D1AC9" w:rsidP="005D1A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37A9A86" w14:textId="77777777" w:rsidR="005D1AC9" w:rsidRPr="00874EF5" w:rsidRDefault="00A5081A" w:rsidP="005D1AC9">
      <w:pPr>
        <w:pStyle w:val="Ttulo1"/>
        <w:tabs>
          <w:tab w:val="clear" w:pos="6840"/>
        </w:tabs>
        <w:spacing w:line="240" w:lineRule="auto"/>
        <w:rPr>
          <w:lang w:val="pt-BR"/>
        </w:rPr>
      </w:pPr>
      <w:r>
        <w:rPr>
          <w:lang w:val="pt-BR"/>
        </w:rPr>
        <w:t>METODOLOGIA</w:t>
      </w:r>
    </w:p>
    <w:p w14:paraId="2186F700" w14:textId="77777777" w:rsidR="005D1AC9" w:rsidRPr="007B117A" w:rsidRDefault="005D1AC9" w:rsidP="005D1A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206C1963" w14:textId="77777777" w:rsidR="005D6BA6" w:rsidRPr="005D6BA6" w:rsidRDefault="005D1AC9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sz w:val="24"/>
          <w:szCs w:val="24"/>
        </w:rPr>
        <w:tab/>
      </w:r>
      <w:r w:rsidR="005D6BA6" w:rsidRPr="005D6BA6">
        <w:rPr>
          <w:rFonts w:ascii="Times New Roman" w:hAnsi="Times New Roman"/>
          <w:sz w:val="24"/>
          <w:szCs w:val="24"/>
        </w:rPr>
        <w:t xml:space="preserve">Deposição de C3 do sistema complemento sobre a superfície de pneumococos na presença de anticorpos </w:t>
      </w:r>
      <w:commentRangeStart w:id="15"/>
      <w:r w:rsidR="005D6BA6" w:rsidRPr="005D6BA6">
        <w:rPr>
          <w:rFonts w:ascii="Times New Roman" w:hAnsi="Times New Roman"/>
          <w:sz w:val="24"/>
          <w:szCs w:val="24"/>
        </w:rPr>
        <w:t>específicos</w:t>
      </w:r>
      <w:commentRangeEnd w:id="15"/>
      <w:r w:rsidR="003F711A">
        <w:rPr>
          <w:rStyle w:val="Refdecomentrio"/>
        </w:rPr>
        <w:commentReference w:id="15"/>
      </w:r>
    </w:p>
    <w:p w14:paraId="6E16B4B1" w14:textId="77777777" w:rsidR="005D6BA6" w:rsidRPr="005D6BA6" w:rsidRDefault="005D6BA6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6BA6">
        <w:rPr>
          <w:rFonts w:ascii="Times New Roman" w:hAnsi="Times New Roman"/>
          <w:sz w:val="24"/>
          <w:szCs w:val="24"/>
        </w:rPr>
        <w:t xml:space="preserve">A deposição da opsonina C3b na superfície de pneumococos </w:t>
      </w:r>
      <w:commentRangeStart w:id="16"/>
      <w:r w:rsidRPr="005D6BA6">
        <w:rPr>
          <w:rFonts w:ascii="Times New Roman" w:hAnsi="Times New Roman"/>
          <w:sz w:val="24"/>
          <w:szCs w:val="24"/>
        </w:rPr>
        <w:t>será</w:t>
      </w:r>
      <w:commentRangeEnd w:id="16"/>
      <w:r w:rsidR="003F711A">
        <w:rPr>
          <w:rStyle w:val="Refdecomentrio"/>
        </w:rPr>
        <w:commentReference w:id="16"/>
      </w:r>
      <w:r w:rsidRPr="005D6BA6">
        <w:rPr>
          <w:rFonts w:ascii="Times New Roman" w:hAnsi="Times New Roman"/>
          <w:sz w:val="24"/>
          <w:szCs w:val="24"/>
        </w:rPr>
        <w:t xml:space="preserve"> avaliada utilizando-se protocolo padronizado por nosso grupo de </w:t>
      </w:r>
      <w:proofErr w:type="gramStart"/>
      <w:r w:rsidRPr="005D6BA6">
        <w:rPr>
          <w:rFonts w:ascii="Times New Roman" w:hAnsi="Times New Roman"/>
          <w:sz w:val="24"/>
          <w:szCs w:val="24"/>
        </w:rPr>
        <w:t>pesquisa[</w:t>
      </w:r>
      <w:proofErr w:type="gramEnd"/>
      <w:r w:rsidRPr="005D6BA6">
        <w:rPr>
          <w:rFonts w:ascii="Times New Roman" w:hAnsi="Times New Roman"/>
          <w:sz w:val="24"/>
          <w:szCs w:val="24"/>
        </w:rPr>
        <w:t xml:space="preserve">26]. Diferentes isolados de pneumococo serão cultivados em meio THY até D.O.600nm = 0,5, lavados com tampão fosfato de sódio (PBS) e </w:t>
      </w:r>
      <w:proofErr w:type="spellStart"/>
      <w:r w:rsidRPr="005D6BA6">
        <w:rPr>
          <w:rFonts w:ascii="Times New Roman" w:hAnsi="Times New Roman"/>
          <w:sz w:val="24"/>
          <w:szCs w:val="24"/>
        </w:rPr>
        <w:t>aliquotados</w:t>
      </w:r>
      <w:proofErr w:type="spellEnd"/>
      <w:r w:rsidRPr="005D6BA6">
        <w:rPr>
          <w:rFonts w:ascii="Times New Roman" w:hAnsi="Times New Roman"/>
          <w:sz w:val="24"/>
          <w:szCs w:val="24"/>
        </w:rPr>
        <w:t xml:space="preserve"> em amostras de 90 µL (correspondendo a aproximadamente 106 células). As amostras serão incubadas na presença de soro de animais imunizados com as proteínas recombinantes e híbridos previamente mantido a 56 ºC para inativação do complemento – durante 30 minutos, seguido pela incubação com 10% de soro de camundongos não imunizados </w:t>
      </w:r>
      <w:r w:rsidRPr="005D6BA6">
        <w:rPr>
          <w:rFonts w:ascii="Times New Roman" w:hAnsi="Times New Roman"/>
          <w:sz w:val="24"/>
          <w:szCs w:val="24"/>
        </w:rPr>
        <w:lastRenderedPageBreak/>
        <w:t>(fonte de complemento) por mais 30 minutos a 37 ºC. Como controle, será utilizado soro de animais imunizados com adjuvante em solução salina. Após nova lavagem, as amostras serão incubadas com anticorpo anti-C3 de camundongo conjugado com FITC (</w:t>
      </w:r>
      <w:proofErr w:type="spellStart"/>
      <w:r w:rsidRPr="005D6BA6">
        <w:rPr>
          <w:rFonts w:ascii="Times New Roman" w:hAnsi="Times New Roman"/>
          <w:sz w:val="24"/>
          <w:szCs w:val="24"/>
        </w:rPr>
        <w:t>Comp</w:t>
      </w:r>
      <w:proofErr w:type="spellEnd"/>
      <w:r w:rsidRPr="005D6BA6">
        <w:rPr>
          <w:rFonts w:ascii="Times New Roman" w:hAnsi="Times New Roman"/>
          <w:sz w:val="24"/>
          <w:szCs w:val="24"/>
        </w:rPr>
        <w:t xml:space="preserve"> Tech). A fluorescência das amostras será determinada por </w:t>
      </w:r>
      <w:proofErr w:type="spellStart"/>
      <w:r w:rsidRPr="005D6BA6">
        <w:rPr>
          <w:rFonts w:ascii="Times New Roman" w:hAnsi="Times New Roman"/>
          <w:sz w:val="24"/>
          <w:szCs w:val="24"/>
        </w:rPr>
        <w:t>citometria</w:t>
      </w:r>
      <w:proofErr w:type="spellEnd"/>
      <w:r w:rsidRPr="005D6BA6">
        <w:rPr>
          <w:rFonts w:ascii="Times New Roman" w:hAnsi="Times New Roman"/>
          <w:sz w:val="24"/>
          <w:szCs w:val="24"/>
        </w:rPr>
        <w:t xml:space="preserve"> de fluxo, e comparada ao controle. Um aumento na fluorescência das amostras é indicativo de uma maior deposição de C3 nas bactérias. </w:t>
      </w:r>
    </w:p>
    <w:p w14:paraId="781EE04F" w14:textId="77777777" w:rsidR="005D6BA6" w:rsidRPr="005D6BA6" w:rsidRDefault="005D6BA6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6BA6">
        <w:rPr>
          <w:rFonts w:ascii="Times New Roman" w:hAnsi="Times New Roman"/>
          <w:sz w:val="24"/>
          <w:szCs w:val="24"/>
        </w:rPr>
        <w:t>O soro dos animais imunizados com as proteínas recombinantes foi coletado e armazenado, após aprovação do comitê de ética em pesquisa animal de USF (parecer do 200.225.122-34, protocolo 001.06.2019) (Anexo I).</w:t>
      </w:r>
    </w:p>
    <w:p w14:paraId="53903A33" w14:textId="77777777" w:rsidR="005D6BA6" w:rsidRPr="005D6BA6" w:rsidRDefault="005D6BA6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F1587F9" w14:textId="2C9F7ACA" w:rsidR="005D6BA6" w:rsidRDefault="005D6BA6" w:rsidP="005D6BA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D6BA6">
        <w:rPr>
          <w:rFonts w:ascii="Times New Roman" w:hAnsi="Times New Roman"/>
          <w:i/>
          <w:sz w:val="24"/>
          <w:szCs w:val="24"/>
        </w:rPr>
        <w:t xml:space="preserve">Ensaio de </w:t>
      </w:r>
      <w:proofErr w:type="spellStart"/>
      <w:r w:rsidRPr="005D6BA6">
        <w:rPr>
          <w:rFonts w:ascii="Times New Roman" w:hAnsi="Times New Roman"/>
          <w:i/>
          <w:sz w:val="24"/>
          <w:szCs w:val="24"/>
        </w:rPr>
        <w:t>opsonofagocitose</w:t>
      </w:r>
      <w:proofErr w:type="spellEnd"/>
      <w:r w:rsidRPr="005D6BA6">
        <w:rPr>
          <w:rFonts w:ascii="Times New Roman" w:hAnsi="Times New Roman"/>
          <w:i/>
          <w:sz w:val="24"/>
          <w:szCs w:val="24"/>
        </w:rPr>
        <w:t xml:space="preserve"> do pneumococo na presença de anticorpos contra as proteínas recombinantes</w:t>
      </w:r>
    </w:p>
    <w:p w14:paraId="7D3664EE" w14:textId="77777777" w:rsidR="005D6BA6" w:rsidRPr="005D6BA6" w:rsidRDefault="005D6BA6" w:rsidP="005D6BA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580E464E" w14:textId="4D823272" w:rsidR="005D6BA6" w:rsidRDefault="005D6BA6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6BA6">
        <w:rPr>
          <w:rFonts w:ascii="Times New Roman" w:hAnsi="Times New Roman"/>
          <w:sz w:val="24"/>
          <w:szCs w:val="24"/>
        </w:rPr>
        <w:t xml:space="preserve">Os anticorpos gerados contra os diferentes antígenos </w:t>
      </w:r>
      <w:commentRangeStart w:id="17"/>
      <w:r w:rsidRPr="005D6BA6">
        <w:rPr>
          <w:rFonts w:ascii="Times New Roman" w:hAnsi="Times New Roman"/>
          <w:sz w:val="24"/>
          <w:szCs w:val="24"/>
        </w:rPr>
        <w:t>serão</w:t>
      </w:r>
      <w:commentRangeEnd w:id="17"/>
      <w:r w:rsidR="003F711A">
        <w:rPr>
          <w:rStyle w:val="Refdecomentrio"/>
        </w:rPr>
        <w:commentReference w:id="17"/>
      </w:r>
      <w:r w:rsidRPr="005D6BA6">
        <w:rPr>
          <w:rFonts w:ascii="Times New Roman" w:hAnsi="Times New Roman"/>
          <w:sz w:val="24"/>
          <w:szCs w:val="24"/>
        </w:rPr>
        <w:t xml:space="preserve"> avaliados quanto à capacidade de favorecer a </w:t>
      </w:r>
      <w:proofErr w:type="spellStart"/>
      <w:r w:rsidRPr="005D6BA6">
        <w:rPr>
          <w:rFonts w:ascii="Times New Roman" w:hAnsi="Times New Roman"/>
          <w:sz w:val="24"/>
          <w:szCs w:val="24"/>
        </w:rPr>
        <w:t>opsonofagocitose</w:t>
      </w:r>
      <w:proofErr w:type="spellEnd"/>
      <w:r w:rsidRPr="005D6BA6">
        <w:rPr>
          <w:rFonts w:ascii="Times New Roman" w:hAnsi="Times New Roman"/>
          <w:sz w:val="24"/>
          <w:szCs w:val="24"/>
        </w:rPr>
        <w:t xml:space="preserve">, utilizando protocolo adaptado por nosso grupo [26]. Pneumococos serão incubados na presença de soro de animais imunizados e uma fonte de complemento (soro normal de camundongo), em seguida, serão adicionados 4x105 células peritoneais de camundongos. As amostras serão incubadas a 37ºC durante 45min. Após a incubação, as amostras serão </w:t>
      </w:r>
      <w:proofErr w:type="spellStart"/>
      <w:r w:rsidRPr="005D6BA6">
        <w:rPr>
          <w:rFonts w:ascii="Times New Roman" w:hAnsi="Times New Roman"/>
          <w:sz w:val="24"/>
          <w:szCs w:val="24"/>
        </w:rPr>
        <w:t>plaqueadas</w:t>
      </w:r>
      <w:proofErr w:type="spellEnd"/>
      <w:r w:rsidRPr="005D6BA6">
        <w:rPr>
          <w:rFonts w:ascii="Times New Roman" w:hAnsi="Times New Roman"/>
          <w:sz w:val="24"/>
          <w:szCs w:val="24"/>
        </w:rPr>
        <w:t xml:space="preserve"> e os pneumococos recuperados contados.</w:t>
      </w:r>
    </w:p>
    <w:p w14:paraId="16D60C38" w14:textId="77777777" w:rsidR="005D6BA6" w:rsidRPr="005D6BA6" w:rsidRDefault="005D6BA6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FF5000" w14:textId="77777777" w:rsidR="005D6BA6" w:rsidRDefault="005D6BA6" w:rsidP="005D6BA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6BA6">
        <w:rPr>
          <w:rFonts w:ascii="Times New Roman" w:hAnsi="Times New Roman"/>
          <w:sz w:val="24"/>
          <w:szCs w:val="24"/>
        </w:rPr>
        <w:t>O presente projeto será desenvolvido no laboratório de Biologia Molecular de Microrganismos da Universidade São Francisco em Bragança Paulista. Este espaço, ocupado por docentes do programa de Pós-graduação em Ciências da Saúde da USF, conta com todos os equipamentos e infraestrutura necessários à realização dos experimentos propostos. O projeto conta também com fomento da FAPESP, para compra de reagentes.</w:t>
      </w:r>
    </w:p>
    <w:p w14:paraId="5ABB20C1" w14:textId="49A34AE6" w:rsidR="00874EF5" w:rsidRPr="007B117A" w:rsidRDefault="005D6BA6" w:rsidP="00874E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D6BA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874EF5"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7E4655A" w14:textId="5E3E2EEA" w:rsidR="005D1AC9" w:rsidRPr="005D6BA6" w:rsidRDefault="00A5081A" w:rsidP="005D1AC9">
      <w:pPr>
        <w:pStyle w:val="Ttulo1"/>
        <w:tabs>
          <w:tab w:val="clear" w:pos="6840"/>
        </w:tabs>
        <w:spacing w:line="240" w:lineRule="auto"/>
        <w:rPr>
          <w:lang w:val="pt-BR"/>
        </w:rPr>
      </w:pPr>
      <w:r w:rsidRPr="007B117A">
        <w:t>RESULTADOS E DISCUSSÃO</w:t>
      </w:r>
      <w:r w:rsidR="005D6BA6">
        <w:rPr>
          <w:lang w:val="pt-BR"/>
        </w:rPr>
        <w:t xml:space="preserve"> </w:t>
      </w:r>
      <w:r w:rsidR="005D6BA6" w:rsidRPr="005D6BA6">
        <w:rPr>
          <w:highlight w:val="yellow"/>
          <w:lang w:val="pt-BR"/>
        </w:rPr>
        <w:t>(ainda não tenho)</w:t>
      </w:r>
    </w:p>
    <w:p w14:paraId="70111458" w14:textId="77777777" w:rsidR="005D1AC9" w:rsidRPr="007B117A" w:rsidRDefault="005D1AC9" w:rsidP="005D1A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A466E53" w14:textId="77777777" w:rsidR="00B0188C" w:rsidRDefault="00B0188C" w:rsidP="005D1AC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No caso de </w:t>
      </w:r>
      <w:r w:rsidR="007F7CD8">
        <w:rPr>
          <w:rFonts w:ascii="Times New Roman" w:hAnsi="Times New Roman"/>
          <w:color w:val="000000"/>
          <w:sz w:val="24"/>
          <w:szCs w:val="24"/>
        </w:rPr>
        <w:t>artigos</w:t>
      </w:r>
      <w:r>
        <w:rPr>
          <w:rFonts w:ascii="Times New Roman" w:hAnsi="Times New Roman"/>
          <w:color w:val="000000"/>
          <w:sz w:val="24"/>
          <w:szCs w:val="24"/>
        </w:rPr>
        <w:t xml:space="preserve"> de extensão, os</w:t>
      </w:r>
      <w:r w:rsidRPr="00B0188C">
        <w:rPr>
          <w:rFonts w:ascii="Times New Roman" w:hAnsi="Times New Roman"/>
          <w:color w:val="000000"/>
          <w:sz w:val="24"/>
          <w:szCs w:val="24"/>
        </w:rPr>
        <w:t xml:space="preserve"> resultados deverão ser apresentados de acordo com as etapas previstas nos métodos, esclarecendo os mecanismos de transferência de tecnologias utilizadas no projeto junto ao público beneficiário da ação. O desenvolvimento do trabalho procura apresentar e comparar as experiências dos atores envolvidos nas ações de extensão com o de outros projetos em situações similares (seja pelo público beneficiário da ação, seja pela tecnologia utilizada para a transferência de conhecimento e inovação tecnológica). </w:t>
      </w:r>
      <w:r w:rsidR="00600FAF">
        <w:rPr>
          <w:rFonts w:ascii="Times New Roman" w:hAnsi="Times New Roman"/>
          <w:color w:val="000000"/>
          <w:sz w:val="24"/>
          <w:szCs w:val="24"/>
        </w:rPr>
        <w:t>F</w:t>
      </w:r>
      <w:r w:rsidRPr="00B0188C">
        <w:rPr>
          <w:rFonts w:ascii="Times New Roman" w:hAnsi="Times New Roman"/>
          <w:color w:val="000000"/>
          <w:sz w:val="24"/>
          <w:szCs w:val="24"/>
        </w:rPr>
        <w:t>otos, trechos de relatos de experiência, entre outros</w:t>
      </w:r>
      <w:r w:rsidR="00600FAF">
        <w:rPr>
          <w:rFonts w:ascii="Times New Roman" w:hAnsi="Times New Roman"/>
          <w:color w:val="000000"/>
          <w:sz w:val="24"/>
          <w:szCs w:val="24"/>
        </w:rPr>
        <w:t xml:space="preserve"> também podem ser apresentados (respeitando-se os preceitos éticos de direito à imagem)</w:t>
      </w:r>
      <w:r w:rsidRPr="00B0188C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5B0357D1" w14:textId="77777777" w:rsidR="005D1AC9" w:rsidRPr="007B117A" w:rsidRDefault="00B0188C" w:rsidP="005D1AC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No caso das pesquisas científicas e tecnológicas, os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 xml:space="preserve"> resultados devem vir junto com a discussão. Todos os resultados obtidos por tratamento quantitativo e/ou qualitativo dos dados de pesquisa devem ser apresentados em </w:t>
      </w:r>
      <w:r w:rsidR="003F3AAA" w:rsidRPr="003F3AAA">
        <w:rPr>
          <w:rFonts w:ascii="Times New Roman" w:hAnsi="Times New Roman"/>
          <w:color w:val="000000"/>
          <w:sz w:val="24"/>
          <w:szCs w:val="24"/>
        </w:rPr>
        <w:t>ORDEM CRONOLÓGICA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>, de forma descritiva, em figuras, tabelas</w:t>
      </w:r>
      <w:r w:rsidR="007F7CD8">
        <w:rPr>
          <w:rFonts w:ascii="Times New Roman" w:hAnsi="Times New Roman"/>
          <w:color w:val="000000"/>
          <w:sz w:val="24"/>
          <w:szCs w:val="24"/>
        </w:rPr>
        <w:t>, quadros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 xml:space="preserve"> ou em gráficos</w:t>
      </w:r>
      <w:r w:rsidR="00600FAF">
        <w:rPr>
          <w:rFonts w:ascii="Times New Roman" w:hAnsi="Times New Roman"/>
          <w:color w:val="000000"/>
          <w:sz w:val="24"/>
          <w:szCs w:val="24"/>
        </w:rPr>
        <w:t xml:space="preserve">, seguindo normas da 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>ABNT</w:t>
      </w:r>
      <w:r w:rsidR="007F7CD8">
        <w:rPr>
          <w:rFonts w:ascii="Times New Roman" w:hAnsi="Times New Roman"/>
          <w:color w:val="000000"/>
          <w:sz w:val="24"/>
          <w:szCs w:val="24"/>
        </w:rPr>
        <w:t xml:space="preserve"> (e suas atualizações)</w:t>
      </w:r>
      <w:r w:rsidR="003F3AAA">
        <w:rPr>
          <w:rFonts w:ascii="Times New Roman" w:hAnsi="Times New Roman"/>
          <w:color w:val="000000"/>
          <w:sz w:val="24"/>
          <w:szCs w:val="24"/>
        </w:rPr>
        <w:t xml:space="preserve"> e instruções deste documento</w:t>
      </w:r>
      <w:r w:rsidR="00600FAF">
        <w:rPr>
          <w:rFonts w:ascii="Times New Roman" w:hAnsi="Times New Roman"/>
          <w:color w:val="000000"/>
          <w:sz w:val="24"/>
          <w:szCs w:val="24"/>
        </w:rPr>
        <w:t xml:space="preserve">, os mesmos devem ser 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>inserid</w:t>
      </w:r>
      <w:r w:rsidR="00600FAF">
        <w:rPr>
          <w:rFonts w:ascii="Times New Roman" w:hAnsi="Times New Roman"/>
          <w:color w:val="000000"/>
          <w:sz w:val="24"/>
          <w:szCs w:val="24"/>
        </w:rPr>
        <w:t>os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 xml:space="preserve"> o mais próximo possível do trecho a que se refere, conforme </w:t>
      </w:r>
      <w:r w:rsidR="002D52B1">
        <w:rPr>
          <w:rFonts w:ascii="Times New Roman" w:hAnsi="Times New Roman"/>
          <w:color w:val="000000"/>
          <w:sz w:val="24"/>
          <w:szCs w:val="24"/>
        </w:rPr>
        <w:t xml:space="preserve">exemplo do 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 xml:space="preserve">projeto gráfico </w:t>
      </w:r>
      <w:r w:rsidR="002D52B1">
        <w:rPr>
          <w:rFonts w:ascii="Times New Roman" w:hAnsi="Times New Roman"/>
          <w:color w:val="000000"/>
          <w:sz w:val="24"/>
          <w:szCs w:val="24"/>
        </w:rPr>
        <w:t>indicado neste modelo</w:t>
      </w:r>
      <w:r w:rsidR="005D1AC9" w:rsidRPr="007B117A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2A4CDBD2" w14:textId="77777777" w:rsidR="005D1AC9" w:rsidRPr="007B117A" w:rsidRDefault="005D1AC9" w:rsidP="005D1AC9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7B117A">
        <w:rPr>
          <w:rFonts w:ascii="Times New Roman" w:hAnsi="Times New Roman"/>
          <w:color w:val="000000"/>
          <w:sz w:val="24"/>
          <w:szCs w:val="24"/>
        </w:rPr>
        <w:t xml:space="preserve">A discussão é a interpretação dos resultados obtidos e o relacionamento desses com as informações existentes na literatura (revisão teórica apresentada na introdução). Deve-se explicitar se os objetivos foram atingidos e quais as principais conclusões do pesquisador a partir dos resultados encontrados. </w:t>
      </w:r>
    </w:p>
    <w:p w14:paraId="6199DA88" w14:textId="77777777" w:rsidR="007F7CD8" w:rsidRDefault="005D1AC9" w:rsidP="0025318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000000"/>
          <w:sz w:val="24"/>
          <w:szCs w:val="24"/>
        </w:rPr>
        <w:lastRenderedPageBreak/>
        <w:t xml:space="preserve">Preferencialmente a discussão deverá estar sustentada por dados reportados por outros pesquisadores, neste caso também, o conteúdo deverá </w:t>
      </w:r>
      <w:r w:rsidRPr="007B117A">
        <w:rPr>
          <w:rFonts w:ascii="Times New Roman" w:hAnsi="Times New Roman"/>
          <w:sz w:val="24"/>
          <w:szCs w:val="24"/>
        </w:rPr>
        <w:t xml:space="preserve">ser referenciado através das citações. </w:t>
      </w:r>
    </w:p>
    <w:p w14:paraId="66618C0A" w14:textId="77777777" w:rsidR="009A4378" w:rsidRDefault="006726FC" w:rsidP="0025318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="005D1AC9" w:rsidRPr="007B117A">
        <w:rPr>
          <w:rFonts w:ascii="Times New Roman" w:hAnsi="Times New Roman"/>
          <w:sz w:val="24"/>
          <w:szCs w:val="24"/>
        </w:rPr>
        <w:t xml:space="preserve">s resultados </w:t>
      </w:r>
      <w:r w:rsidR="007F7CD8">
        <w:rPr>
          <w:rFonts w:ascii="Times New Roman" w:hAnsi="Times New Roman"/>
          <w:sz w:val="24"/>
          <w:szCs w:val="24"/>
        </w:rPr>
        <w:t>pod</w:t>
      </w:r>
      <w:r w:rsidR="005D1AC9" w:rsidRPr="007B117A">
        <w:rPr>
          <w:rFonts w:ascii="Times New Roman" w:hAnsi="Times New Roman"/>
          <w:sz w:val="24"/>
          <w:szCs w:val="24"/>
        </w:rPr>
        <w:t>erão ser apresentados e discutidos utilizando recursos gráficos, tabelas e figuras. Todas as tabelas e figuras deverão ser referenciadas no texto</w:t>
      </w:r>
      <w:r w:rsidR="00253185">
        <w:rPr>
          <w:rFonts w:ascii="Times New Roman" w:hAnsi="Times New Roman"/>
          <w:sz w:val="24"/>
          <w:szCs w:val="24"/>
        </w:rPr>
        <w:t xml:space="preserve">. A </w:t>
      </w:r>
      <w:r w:rsidR="005D1AC9" w:rsidRPr="007B117A">
        <w:rPr>
          <w:rFonts w:ascii="Times New Roman" w:hAnsi="Times New Roman"/>
          <w:sz w:val="24"/>
          <w:szCs w:val="24"/>
        </w:rPr>
        <w:t>tabela é apresentad</w:t>
      </w:r>
      <w:r w:rsidR="00253185">
        <w:rPr>
          <w:rFonts w:ascii="Times New Roman" w:hAnsi="Times New Roman"/>
          <w:sz w:val="24"/>
          <w:szCs w:val="24"/>
        </w:rPr>
        <w:t>a</w:t>
      </w:r>
      <w:r w:rsidR="005D1AC9" w:rsidRPr="007B117A">
        <w:rPr>
          <w:rFonts w:ascii="Times New Roman" w:hAnsi="Times New Roman"/>
          <w:sz w:val="24"/>
          <w:szCs w:val="24"/>
        </w:rPr>
        <w:t xml:space="preserve"> </w:t>
      </w:r>
      <w:r w:rsidR="00253185">
        <w:rPr>
          <w:rFonts w:ascii="Times New Roman" w:hAnsi="Times New Roman"/>
          <w:sz w:val="24"/>
          <w:szCs w:val="24"/>
        </w:rPr>
        <w:t xml:space="preserve">com </w:t>
      </w:r>
      <w:r w:rsidR="005D1AC9" w:rsidRPr="007B117A">
        <w:rPr>
          <w:rFonts w:ascii="Times New Roman" w:hAnsi="Times New Roman"/>
          <w:sz w:val="24"/>
          <w:szCs w:val="24"/>
        </w:rPr>
        <w:t xml:space="preserve">apenas linhas horizontais. Destaca-se que a Tabela </w:t>
      </w:r>
      <w:r w:rsidR="003F3AAA">
        <w:rPr>
          <w:rFonts w:ascii="Times New Roman" w:hAnsi="Times New Roman"/>
          <w:sz w:val="24"/>
          <w:szCs w:val="24"/>
        </w:rPr>
        <w:t>é</w:t>
      </w:r>
      <w:r w:rsidR="005D1AC9" w:rsidRPr="007B117A">
        <w:rPr>
          <w:rFonts w:ascii="Times New Roman" w:hAnsi="Times New Roman"/>
          <w:sz w:val="24"/>
          <w:szCs w:val="24"/>
        </w:rPr>
        <w:t xml:space="preserve"> utilizada para apresentação de dados numéricos, principalmente quando compreendem valores comparativos. </w:t>
      </w:r>
      <w:r w:rsidR="009A4378" w:rsidRPr="007B117A">
        <w:rPr>
          <w:rFonts w:ascii="Times New Roman" w:hAnsi="Times New Roman"/>
          <w:sz w:val="24"/>
          <w:szCs w:val="24"/>
        </w:rPr>
        <w:t xml:space="preserve">Um exemplo de </w:t>
      </w:r>
      <w:r w:rsidR="002D52B1">
        <w:rPr>
          <w:rFonts w:ascii="Times New Roman" w:hAnsi="Times New Roman"/>
          <w:sz w:val="24"/>
          <w:szCs w:val="24"/>
        </w:rPr>
        <w:t>t</w:t>
      </w:r>
      <w:r w:rsidR="009A4378">
        <w:rPr>
          <w:rFonts w:ascii="Times New Roman" w:hAnsi="Times New Roman"/>
          <w:sz w:val="24"/>
          <w:szCs w:val="24"/>
        </w:rPr>
        <w:t>abela</w:t>
      </w:r>
      <w:r w:rsidR="009A4378" w:rsidRPr="007B117A">
        <w:rPr>
          <w:rFonts w:ascii="Times New Roman" w:hAnsi="Times New Roman"/>
          <w:sz w:val="24"/>
          <w:szCs w:val="24"/>
        </w:rPr>
        <w:t xml:space="preserve"> é apresentado a seguir. Como exemplo, a </w:t>
      </w:r>
      <w:r w:rsidR="009A4378">
        <w:rPr>
          <w:rFonts w:ascii="Times New Roman" w:hAnsi="Times New Roman"/>
          <w:sz w:val="24"/>
          <w:szCs w:val="24"/>
        </w:rPr>
        <w:t>Tabela</w:t>
      </w:r>
      <w:r w:rsidR="009A4378" w:rsidRPr="007B117A">
        <w:rPr>
          <w:rFonts w:ascii="Times New Roman" w:hAnsi="Times New Roman"/>
          <w:sz w:val="24"/>
          <w:szCs w:val="24"/>
        </w:rPr>
        <w:t xml:space="preserve"> 1 apresenta </w:t>
      </w:r>
      <w:r w:rsidR="009A4378">
        <w:rPr>
          <w:rFonts w:ascii="Times New Roman" w:hAnsi="Times New Roman"/>
          <w:sz w:val="24"/>
          <w:szCs w:val="24"/>
        </w:rPr>
        <w:t>a relação entre peso, estatura e idade de estudantes</w:t>
      </w:r>
      <w:r w:rsidR="00A13BF5">
        <w:rPr>
          <w:rFonts w:ascii="Times New Roman" w:hAnsi="Times New Roman"/>
          <w:sz w:val="24"/>
          <w:szCs w:val="24"/>
        </w:rPr>
        <w:t xml:space="preserve"> do Curso de Culinária</w:t>
      </w:r>
      <w:r w:rsidR="009A4378">
        <w:rPr>
          <w:rFonts w:ascii="Times New Roman" w:hAnsi="Times New Roman"/>
          <w:sz w:val="24"/>
          <w:szCs w:val="24"/>
        </w:rPr>
        <w:t>.</w:t>
      </w:r>
    </w:p>
    <w:p w14:paraId="47464668" w14:textId="77777777" w:rsidR="009A4378" w:rsidRPr="007B117A" w:rsidRDefault="009A4378" w:rsidP="009A4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6E07D766" w14:textId="77777777" w:rsidR="009A4378" w:rsidRPr="007F7CD8" w:rsidRDefault="009A4378" w:rsidP="009A4378">
      <w:pPr>
        <w:spacing w:after="0" w:line="240" w:lineRule="auto"/>
        <w:ind w:right="-136"/>
        <w:jc w:val="center"/>
        <w:rPr>
          <w:rFonts w:ascii="Times New Roman" w:hAnsi="Times New Roman"/>
          <w:b/>
          <w:sz w:val="24"/>
          <w:szCs w:val="24"/>
        </w:rPr>
      </w:pPr>
      <w:r w:rsidRPr="007F7CD8">
        <w:rPr>
          <w:rFonts w:ascii="Times New Roman" w:hAnsi="Times New Roman"/>
          <w:b/>
          <w:sz w:val="24"/>
          <w:szCs w:val="24"/>
        </w:rPr>
        <w:t xml:space="preserve">Tabela 1 – </w:t>
      </w:r>
      <w:r w:rsidRPr="007F7CD8">
        <w:rPr>
          <w:rFonts w:ascii="Times New Roman" w:hAnsi="Times New Roman"/>
          <w:sz w:val="24"/>
          <w:szCs w:val="24"/>
        </w:rPr>
        <w:t>Relação: estatura; peso; idade (estudantes masculinos Curso de Culinária)</w:t>
      </w:r>
      <w:r w:rsidR="00A13BF5" w:rsidRPr="007F7CD8"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44"/>
        <w:gridCol w:w="2851"/>
        <w:gridCol w:w="3375"/>
      </w:tblGrid>
      <w:tr w:rsidR="009A4378" w:rsidRPr="007F7CD8" w14:paraId="526BCCC5" w14:textId="77777777" w:rsidTr="007F7CD8"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14:paraId="3DDF592B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/>
                <w:bCs/>
                <w:sz w:val="24"/>
                <w:szCs w:val="24"/>
              </w:rPr>
              <w:t>Peso (Kg)</w:t>
            </w:r>
          </w:p>
        </w:tc>
        <w:tc>
          <w:tcPr>
            <w:tcW w:w="2881" w:type="dxa"/>
            <w:tcBorders>
              <w:top w:val="single" w:sz="4" w:space="0" w:color="auto"/>
              <w:bottom w:val="single" w:sz="4" w:space="0" w:color="auto"/>
            </w:tcBorders>
          </w:tcPr>
          <w:p w14:paraId="3C6C9CDD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/>
                <w:bCs/>
                <w:sz w:val="24"/>
                <w:szCs w:val="24"/>
              </w:rPr>
              <w:t>Estatura (m)</w:t>
            </w:r>
          </w:p>
        </w:tc>
        <w:tc>
          <w:tcPr>
            <w:tcW w:w="3418" w:type="dxa"/>
            <w:tcBorders>
              <w:top w:val="single" w:sz="4" w:space="0" w:color="auto"/>
              <w:bottom w:val="single" w:sz="4" w:space="0" w:color="auto"/>
            </w:tcBorders>
          </w:tcPr>
          <w:p w14:paraId="2DCAA6C0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/>
                <w:bCs/>
                <w:sz w:val="24"/>
                <w:szCs w:val="24"/>
              </w:rPr>
              <w:t>Idade (anos)</w:t>
            </w:r>
          </w:p>
        </w:tc>
      </w:tr>
      <w:tr w:rsidR="009A4378" w:rsidRPr="007F7CD8" w14:paraId="26388C5B" w14:textId="77777777" w:rsidTr="007F7CD8">
        <w:tc>
          <w:tcPr>
            <w:tcW w:w="2881" w:type="dxa"/>
            <w:tcBorders>
              <w:top w:val="single" w:sz="4" w:space="0" w:color="auto"/>
            </w:tcBorders>
          </w:tcPr>
          <w:p w14:paraId="0C9B842D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881" w:type="dxa"/>
            <w:tcBorders>
              <w:top w:val="single" w:sz="4" w:space="0" w:color="auto"/>
            </w:tcBorders>
          </w:tcPr>
          <w:p w14:paraId="452A6752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1,65</w:t>
            </w:r>
          </w:p>
        </w:tc>
        <w:tc>
          <w:tcPr>
            <w:tcW w:w="3418" w:type="dxa"/>
            <w:tcBorders>
              <w:top w:val="single" w:sz="4" w:space="0" w:color="auto"/>
            </w:tcBorders>
          </w:tcPr>
          <w:p w14:paraId="06CA9EBE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</w:tr>
      <w:tr w:rsidR="009A4378" w:rsidRPr="007F7CD8" w14:paraId="07F06CF2" w14:textId="77777777" w:rsidTr="007F7CD8">
        <w:tc>
          <w:tcPr>
            <w:tcW w:w="2881" w:type="dxa"/>
          </w:tcPr>
          <w:p w14:paraId="626D54C6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881" w:type="dxa"/>
          </w:tcPr>
          <w:p w14:paraId="175A2858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1,70</w:t>
            </w:r>
          </w:p>
        </w:tc>
        <w:tc>
          <w:tcPr>
            <w:tcW w:w="3418" w:type="dxa"/>
          </w:tcPr>
          <w:p w14:paraId="78CA6778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  <w:tr w:rsidR="009A4378" w:rsidRPr="007F7CD8" w14:paraId="57459BB4" w14:textId="77777777" w:rsidTr="00114552">
        <w:tc>
          <w:tcPr>
            <w:tcW w:w="2881" w:type="dxa"/>
          </w:tcPr>
          <w:p w14:paraId="2D902741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881" w:type="dxa"/>
          </w:tcPr>
          <w:p w14:paraId="0E3EA9F4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1,63</w:t>
            </w:r>
          </w:p>
        </w:tc>
        <w:tc>
          <w:tcPr>
            <w:tcW w:w="3418" w:type="dxa"/>
          </w:tcPr>
          <w:p w14:paraId="150AB81B" w14:textId="77777777" w:rsidR="009A4378" w:rsidRPr="007F7CD8" w:rsidRDefault="009A4378" w:rsidP="0090424D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114552" w:rsidRPr="007F7CD8" w14:paraId="4CB4D324" w14:textId="77777777" w:rsidTr="00114552">
        <w:tc>
          <w:tcPr>
            <w:tcW w:w="2881" w:type="dxa"/>
          </w:tcPr>
          <w:p w14:paraId="24733590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881" w:type="dxa"/>
          </w:tcPr>
          <w:p w14:paraId="72DAA1BD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1,65</w:t>
            </w:r>
          </w:p>
        </w:tc>
        <w:tc>
          <w:tcPr>
            <w:tcW w:w="3418" w:type="dxa"/>
          </w:tcPr>
          <w:p w14:paraId="487BB3FD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</w:tr>
      <w:tr w:rsidR="00114552" w:rsidRPr="007F7CD8" w14:paraId="1BDF4EC7" w14:textId="77777777" w:rsidTr="00114552">
        <w:tc>
          <w:tcPr>
            <w:tcW w:w="2881" w:type="dxa"/>
          </w:tcPr>
          <w:p w14:paraId="5014EAF0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881" w:type="dxa"/>
          </w:tcPr>
          <w:p w14:paraId="4D85D161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1,70</w:t>
            </w:r>
          </w:p>
        </w:tc>
        <w:tc>
          <w:tcPr>
            <w:tcW w:w="3418" w:type="dxa"/>
          </w:tcPr>
          <w:p w14:paraId="21BE4810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  <w:tr w:rsidR="00114552" w:rsidRPr="007F7CD8" w14:paraId="1C34D089" w14:textId="77777777" w:rsidTr="00114552">
        <w:tc>
          <w:tcPr>
            <w:tcW w:w="2881" w:type="dxa"/>
          </w:tcPr>
          <w:p w14:paraId="60DDEE46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881" w:type="dxa"/>
          </w:tcPr>
          <w:p w14:paraId="3D0AE64C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1,63</w:t>
            </w:r>
          </w:p>
        </w:tc>
        <w:tc>
          <w:tcPr>
            <w:tcW w:w="3418" w:type="dxa"/>
          </w:tcPr>
          <w:p w14:paraId="6631B68B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114552" w:rsidRPr="007F7CD8" w14:paraId="1E94D793" w14:textId="77777777" w:rsidTr="00114552">
        <w:tc>
          <w:tcPr>
            <w:tcW w:w="2881" w:type="dxa"/>
          </w:tcPr>
          <w:p w14:paraId="3130C9AC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881" w:type="dxa"/>
          </w:tcPr>
          <w:p w14:paraId="37B5A446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1,70</w:t>
            </w:r>
          </w:p>
        </w:tc>
        <w:tc>
          <w:tcPr>
            <w:tcW w:w="3418" w:type="dxa"/>
          </w:tcPr>
          <w:p w14:paraId="4E6BF4A2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  <w:tr w:rsidR="00114552" w:rsidRPr="007F7CD8" w14:paraId="7FE01B2F" w14:textId="77777777" w:rsidTr="00114552">
        <w:tc>
          <w:tcPr>
            <w:tcW w:w="2881" w:type="dxa"/>
          </w:tcPr>
          <w:p w14:paraId="4F1EEB62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881" w:type="dxa"/>
          </w:tcPr>
          <w:p w14:paraId="7038E54A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1,63</w:t>
            </w:r>
          </w:p>
        </w:tc>
        <w:tc>
          <w:tcPr>
            <w:tcW w:w="3418" w:type="dxa"/>
          </w:tcPr>
          <w:p w14:paraId="51C14E27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114552" w:rsidRPr="007F7CD8" w14:paraId="5817D8B9" w14:textId="77777777" w:rsidTr="00114552">
        <w:tc>
          <w:tcPr>
            <w:tcW w:w="2881" w:type="dxa"/>
          </w:tcPr>
          <w:p w14:paraId="537FE54A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881" w:type="dxa"/>
          </w:tcPr>
          <w:p w14:paraId="6C8C349A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1,65</w:t>
            </w:r>
          </w:p>
        </w:tc>
        <w:tc>
          <w:tcPr>
            <w:tcW w:w="3418" w:type="dxa"/>
          </w:tcPr>
          <w:p w14:paraId="59CAE74A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</w:tr>
      <w:tr w:rsidR="00114552" w:rsidRPr="007F7CD8" w14:paraId="47B478F9" w14:textId="77777777" w:rsidTr="00114552">
        <w:tc>
          <w:tcPr>
            <w:tcW w:w="2881" w:type="dxa"/>
          </w:tcPr>
          <w:p w14:paraId="25E21F0E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881" w:type="dxa"/>
          </w:tcPr>
          <w:p w14:paraId="6ECE1A80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1,70</w:t>
            </w:r>
          </w:p>
        </w:tc>
        <w:tc>
          <w:tcPr>
            <w:tcW w:w="3418" w:type="dxa"/>
          </w:tcPr>
          <w:p w14:paraId="73DB861A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  <w:tr w:rsidR="00114552" w:rsidRPr="007F7CD8" w14:paraId="758F33CD" w14:textId="77777777" w:rsidTr="00274821">
        <w:tc>
          <w:tcPr>
            <w:tcW w:w="2881" w:type="dxa"/>
          </w:tcPr>
          <w:p w14:paraId="7191C717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881" w:type="dxa"/>
          </w:tcPr>
          <w:p w14:paraId="008FA702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1,63</w:t>
            </w:r>
          </w:p>
        </w:tc>
        <w:tc>
          <w:tcPr>
            <w:tcW w:w="3418" w:type="dxa"/>
          </w:tcPr>
          <w:p w14:paraId="2206AFB3" w14:textId="77777777" w:rsidR="00114552" w:rsidRPr="007F7CD8" w:rsidRDefault="00114552" w:rsidP="00114552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274821" w:rsidRPr="007F7CD8" w14:paraId="2C3E087E" w14:textId="77777777" w:rsidTr="00274821">
        <w:tc>
          <w:tcPr>
            <w:tcW w:w="2881" w:type="dxa"/>
          </w:tcPr>
          <w:p w14:paraId="11C339A5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881" w:type="dxa"/>
          </w:tcPr>
          <w:p w14:paraId="09873C0C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1,65</w:t>
            </w:r>
          </w:p>
        </w:tc>
        <w:tc>
          <w:tcPr>
            <w:tcW w:w="3418" w:type="dxa"/>
          </w:tcPr>
          <w:p w14:paraId="24174851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</w:tr>
      <w:tr w:rsidR="00274821" w:rsidRPr="007F7CD8" w14:paraId="794C0984" w14:textId="77777777" w:rsidTr="00274821">
        <w:tc>
          <w:tcPr>
            <w:tcW w:w="2881" w:type="dxa"/>
          </w:tcPr>
          <w:p w14:paraId="62D8A509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881" w:type="dxa"/>
          </w:tcPr>
          <w:p w14:paraId="2C402D40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1,70</w:t>
            </w:r>
          </w:p>
        </w:tc>
        <w:tc>
          <w:tcPr>
            <w:tcW w:w="3418" w:type="dxa"/>
          </w:tcPr>
          <w:p w14:paraId="3514C811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  <w:tr w:rsidR="00274821" w:rsidRPr="007F7CD8" w14:paraId="326C957A" w14:textId="77777777" w:rsidTr="00274821">
        <w:tc>
          <w:tcPr>
            <w:tcW w:w="2881" w:type="dxa"/>
          </w:tcPr>
          <w:p w14:paraId="751608E2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2881" w:type="dxa"/>
          </w:tcPr>
          <w:p w14:paraId="695FB0B9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1,63</w:t>
            </w:r>
          </w:p>
        </w:tc>
        <w:tc>
          <w:tcPr>
            <w:tcW w:w="3418" w:type="dxa"/>
          </w:tcPr>
          <w:p w14:paraId="170B9555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274821" w:rsidRPr="007F7CD8" w14:paraId="46E0DC5C" w14:textId="77777777" w:rsidTr="00274821">
        <w:tc>
          <w:tcPr>
            <w:tcW w:w="2881" w:type="dxa"/>
          </w:tcPr>
          <w:p w14:paraId="0AAF3A9F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2881" w:type="dxa"/>
          </w:tcPr>
          <w:p w14:paraId="7F689C4E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1,65</w:t>
            </w:r>
          </w:p>
        </w:tc>
        <w:tc>
          <w:tcPr>
            <w:tcW w:w="3418" w:type="dxa"/>
          </w:tcPr>
          <w:p w14:paraId="6B416587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</w:tr>
      <w:tr w:rsidR="00274821" w:rsidRPr="007F7CD8" w14:paraId="127C7D1C" w14:textId="77777777" w:rsidTr="007F7CD8">
        <w:tc>
          <w:tcPr>
            <w:tcW w:w="2881" w:type="dxa"/>
            <w:tcBorders>
              <w:bottom w:val="single" w:sz="4" w:space="0" w:color="auto"/>
            </w:tcBorders>
          </w:tcPr>
          <w:p w14:paraId="3B729A0D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2881" w:type="dxa"/>
            <w:tcBorders>
              <w:bottom w:val="single" w:sz="4" w:space="0" w:color="auto"/>
            </w:tcBorders>
          </w:tcPr>
          <w:p w14:paraId="368CBC64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1,70</w:t>
            </w:r>
          </w:p>
        </w:tc>
        <w:tc>
          <w:tcPr>
            <w:tcW w:w="3418" w:type="dxa"/>
            <w:tcBorders>
              <w:bottom w:val="single" w:sz="4" w:space="0" w:color="auto"/>
            </w:tcBorders>
          </w:tcPr>
          <w:p w14:paraId="50240FBC" w14:textId="77777777" w:rsidR="00274821" w:rsidRPr="007F7CD8" w:rsidRDefault="00274821" w:rsidP="00274821">
            <w:pPr>
              <w:spacing w:after="0" w:line="240" w:lineRule="auto"/>
              <w:ind w:right="-136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F7CD8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</w:tbl>
    <w:p w14:paraId="4CD85E88" w14:textId="77777777" w:rsidR="00600FAF" w:rsidRPr="00600FAF" w:rsidRDefault="00600FAF" w:rsidP="00600FAF">
      <w:pPr>
        <w:spacing w:after="0" w:line="240" w:lineRule="auto"/>
        <w:ind w:right="-136"/>
        <w:rPr>
          <w:rFonts w:ascii="Times New Roman" w:hAnsi="Times New Roman"/>
          <w:bCs/>
          <w:sz w:val="20"/>
          <w:szCs w:val="20"/>
        </w:rPr>
      </w:pPr>
      <w:r w:rsidRPr="00600FAF">
        <w:rPr>
          <w:rFonts w:ascii="Times New Roman" w:hAnsi="Times New Roman"/>
          <w:bCs/>
          <w:sz w:val="20"/>
          <w:szCs w:val="20"/>
        </w:rPr>
        <w:t>Fonte: Próprio autor.</w:t>
      </w:r>
    </w:p>
    <w:p w14:paraId="23AF6C90" w14:textId="77777777" w:rsidR="009A4378" w:rsidRPr="007B117A" w:rsidRDefault="009A4378" w:rsidP="009A437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(</w:t>
      </w:r>
      <w:r w:rsidRPr="007B117A">
        <w:rPr>
          <w:rFonts w:ascii="Times New Roman" w:hAnsi="Times New Roman"/>
          <w:color w:val="FF0000"/>
          <w:sz w:val="24"/>
          <w:szCs w:val="24"/>
        </w:rPr>
        <w:t>1 espaço)</w:t>
      </w:r>
    </w:p>
    <w:p w14:paraId="1BE48C08" w14:textId="77777777" w:rsidR="005D1AC9" w:rsidRDefault="005D1AC9" w:rsidP="005D1A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sz w:val="24"/>
          <w:szCs w:val="24"/>
        </w:rPr>
        <w:t>Os dados em pequenas quantidades, eventuais ou repetitivos, não precisam ser apresentados em forma de tabelas ou gráficos</w:t>
      </w:r>
      <w:r w:rsidR="009A4378">
        <w:rPr>
          <w:rFonts w:ascii="Times New Roman" w:hAnsi="Times New Roman"/>
          <w:sz w:val="24"/>
          <w:szCs w:val="24"/>
        </w:rPr>
        <w:t>, mas devem estar descritos</w:t>
      </w:r>
      <w:r w:rsidRPr="007B117A">
        <w:rPr>
          <w:rFonts w:ascii="Times New Roman" w:hAnsi="Times New Roman"/>
          <w:sz w:val="24"/>
          <w:szCs w:val="24"/>
        </w:rPr>
        <w:t xml:space="preserve">. Recomenda-se que as tabelas sejam preparadas de maneira que o leitor possa compreendê-las, sem que seja necessário recorrer ao texto. Desta forma, suas informações devem ser simples e objetivas. O tamanho da letra utilizado nas tabelas </w:t>
      </w:r>
      <w:r w:rsidR="009A4378">
        <w:rPr>
          <w:rFonts w:ascii="Times New Roman" w:hAnsi="Times New Roman"/>
          <w:sz w:val="24"/>
          <w:szCs w:val="24"/>
        </w:rPr>
        <w:t xml:space="preserve">deve </w:t>
      </w:r>
      <w:r w:rsidR="00A13BF5">
        <w:rPr>
          <w:rFonts w:ascii="Times New Roman" w:hAnsi="Times New Roman"/>
          <w:sz w:val="24"/>
          <w:szCs w:val="24"/>
        </w:rPr>
        <w:t xml:space="preserve">ser </w:t>
      </w:r>
      <w:r w:rsidR="00A13BF5" w:rsidRPr="007B117A">
        <w:rPr>
          <w:rFonts w:ascii="Times New Roman" w:hAnsi="Times New Roman"/>
          <w:sz w:val="24"/>
          <w:szCs w:val="24"/>
        </w:rPr>
        <w:t>igual</w:t>
      </w:r>
      <w:r w:rsidRPr="007B117A">
        <w:rPr>
          <w:rFonts w:ascii="Times New Roman" w:hAnsi="Times New Roman"/>
          <w:sz w:val="24"/>
          <w:szCs w:val="24"/>
        </w:rPr>
        <w:t xml:space="preserve"> ao do texto, podendo ser diminuído até o limite que não prejudique a leitura. </w:t>
      </w:r>
    </w:p>
    <w:p w14:paraId="29DCDFD5" w14:textId="77777777" w:rsidR="005D1AC9" w:rsidRPr="007B117A" w:rsidRDefault="002D52B1" w:rsidP="0025318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D52B1">
        <w:rPr>
          <w:rFonts w:ascii="Times New Roman" w:hAnsi="Times New Roman"/>
          <w:b/>
          <w:sz w:val="24"/>
          <w:szCs w:val="24"/>
        </w:rPr>
        <w:t>Atenção:</w:t>
      </w:r>
      <w:r>
        <w:rPr>
          <w:rFonts w:ascii="Times New Roman" w:hAnsi="Times New Roman"/>
          <w:sz w:val="24"/>
          <w:szCs w:val="24"/>
        </w:rPr>
        <w:t xml:space="preserve"> Gráficos devem aparecer como figura. O título das figuras deve aparecer abaixo da mesma e não acima. Evitar os termos: “os resultados estão no gráfico </w:t>
      </w:r>
      <w:r w:rsidR="008E4719">
        <w:rPr>
          <w:rFonts w:ascii="Times New Roman" w:hAnsi="Times New Roman"/>
          <w:sz w:val="24"/>
          <w:szCs w:val="24"/>
        </w:rPr>
        <w:t>abaixo:</w:t>
      </w:r>
      <w:r>
        <w:rPr>
          <w:rFonts w:ascii="Times New Roman" w:hAnsi="Times New Roman"/>
          <w:sz w:val="24"/>
          <w:szCs w:val="24"/>
        </w:rPr>
        <w:t xml:space="preserve">”; “os resultados estão apresentados nas figuras </w:t>
      </w:r>
      <w:r w:rsidR="008E4719">
        <w:rPr>
          <w:rFonts w:ascii="Times New Roman" w:hAnsi="Times New Roman"/>
          <w:sz w:val="24"/>
          <w:szCs w:val="24"/>
        </w:rPr>
        <w:t>supracitadas.</w:t>
      </w:r>
      <w:r>
        <w:rPr>
          <w:rFonts w:ascii="Times New Roman" w:hAnsi="Times New Roman"/>
          <w:sz w:val="24"/>
          <w:szCs w:val="24"/>
        </w:rPr>
        <w:t>”. Substituir pela redação: “</w:t>
      </w:r>
      <w:r w:rsidR="00114552">
        <w:rPr>
          <w:rFonts w:ascii="Times New Roman" w:hAnsi="Times New Roman"/>
          <w:sz w:val="24"/>
          <w:szCs w:val="24"/>
        </w:rPr>
        <w:t>os resultados estão na Figura x (colocar o número sequencial da figura). Logo a seguir está uma redação sugestiva de como referendar a figura no texto e onde a mesma deverá aparecer (após o texto</w:t>
      </w:r>
      <w:proofErr w:type="gramStart"/>
      <w:r w:rsidR="00114552">
        <w:rPr>
          <w:rFonts w:ascii="Times New Roman" w:hAnsi="Times New Roman"/>
          <w:sz w:val="24"/>
          <w:szCs w:val="24"/>
        </w:rPr>
        <w:t>).F</w:t>
      </w:r>
      <w:r w:rsidR="005D1AC9" w:rsidRPr="007B117A">
        <w:rPr>
          <w:rFonts w:ascii="Times New Roman" w:hAnsi="Times New Roman"/>
          <w:sz w:val="24"/>
          <w:szCs w:val="24"/>
        </w:rPr>
        <w:t>igura</w:t>
      </w:r>
      <w:proofErr w:type="gramEnd"/>
      <w:r w:rsidR="005D1AC9" w:rsidRPr="007B117A">
        <w:rPr>
          <w:rFonts w:ascii="Times New Roman" w:hAnsi="Times New Roman"/>
          <w:sz w:val="24"/>
          <w:szCs w:val="24"/>
        </w:rPr>
        <w:t xml:space="preserve"> é a</w:t>
      </w:r>
      <w:r w:rsidR="00600FAF">
        <w:rPr>
          <w:rFonts w:ascii="Times New Roman" w:hAnsi="Times New Roman"/>
          <w:sz w:val="24"/>
          <w:szCs w:val="24"/>
        </w:rPr>
        <w:t xml:space="preserve"> </w:t>
      </w:r>
      <w:r w:rsidR="005D1AC9" w:rsidRPr="007B117A">
        <w:rPr>
          <w:rFonts w:ascii="Times New Roman" w:hAnsi="Times New Roman"/>
          <w:sz w:val="24"/>
          <w:szCs w:val="24"/>
        </w:rPr>
        <w:t>denominação genérica atribuída aos gráficos, fotografias, gravuras, mapas, plantas, desenhos ou demais tipos ilustrativos, quando presentes no trabalho acadêmico em questão. Como exemplo, a Figura 1</w:t>
      </w:r>
      <w:r w:rsidR="007B117A" w:rsidRPr="007B117A">
        <w:rPr>
          <w:rFonts w:ascii="Times New Roman" w:hAnsi="Times New Roman"/>
          <w:sz w:val="24"/>
          <w:szCs w:val="24"/>
        </w:rPr>
        <w:t xml:space="preserve"> apresenta a foto da </w:t>
      </w:r>
      <w:proofErr w:type="spellStart"/>
      <w:r w:rsidR="007B117A" w:rsidRPr="007B117A">
        <w:rPr>
          <w:rFonts w:ascii="Times New Roman" w:hAnsi="Times New Roman"/>
          <w:sz w:val="24"/>
          <w:szCs w:val="24"/>
        </w:rPr>
        <w:t>Tumbérgia</w:t>
      </w:r>
      <w:proofErr w:type="spellEnd"/>
      <w:r w:rsidR="007B117A" w:rsidRPr="007B117A">
        <w:rPr>
          <w:rFonts w:ascii="Times New Roman" w:hAnsi="Times New Roman"/>
          <w:sz w:val="24"/>
          <w:szCs w:val="24"/>
        </w:rPr>
        <w:t xml:space="preserve"> azul (</w:t>
      </w:r>
      <w:proofErr w:type="spellStart"/>
      <w:r w:rsidR="007B117A" w:rsidRPr="00E7521D">
        <w:rPr>
          <w:rFonts w:ascii="Times New Roman" w:hAnsi="Times New Roman"/>
          <w:i/>
          <w:sz w:val="24"/>
          <w:szCs w:val="24"/>
        </w:rPr>
        <w:t>Thunbergia</w:t>
      </w:r>
      <w:proofErr w:type="spellEnd"/>
      <w:r w:rsidR="007B117A" w:rsidRPr="00E7521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7B117A" w:rsidRPr="00E7521D">
        <w:rPr>
          <w:rFonts w:ascii="Times New Roman" w:hAnsi="Times New Roman"/>
          <w:i/>
          <w:sz w:val="24"/>
          <w:szCs w:val="24"/>
        </w:rPr>
        <w:t>grandiflora</w:t>
      </w:r>
      <w:proofErr w:type="spellEnd"/>
      <w:r w:rsidR="007B117A" w:rsidRPr="007B11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B117A" w:rsidRPr="007B117A">
        <w:rPr>
          <w:rFonts w:ascii="Times New Roman" w:hAnsi="Times New Roman"/>
          <w:sz w:val="24"/>
          <w:szCs w:val="24"/>
        </w:rPr>
        <w:t>Roxb</w:t>
      </w:r>
      <w:proofErr w:type="spellEnd"/>
      <w:r w:rsidR="007B117A" w:rsidRPr="007B117A">
        <w:rPr>
          <w:rFonts w:ascii="Times New Roman" w:hAnsi="Times New Roman"/>
          <w:sz w:val="24"/>
          <w:szCs w:val="24"/>
        </w:rPr>
        <w:t>)</w:t>
      </w:r>
      <w:r w:rsidR="005D1AC9" w:rsidRPr="007B117A">
        <w:rPr>
          <w:rFonts w:ascii="Times New Roman" w:hAnsi="Times New Roman"/>
          <w:bCs/>
          <w:sz w:val="24"/>
          <w:szCs w:val="24"/>
        </w:rPr>
        <w:t>.</w:t>
      </w:r>
      <w:r w:rsidR="007F7CD8" w:rsidRPr="007F7CD8">
        <w:rPr>
          <w:rFonts w:ascii="Times New Roman" w:hAnsi="Times New Roman"/>
          <w:sz w:val="24"/>
          <w:szCs w:val="24"/>
        </w:rPr>
        <w:t xml:space="preserve"> </w:t>
      </w:r>
      <w:r w:rsidR="007F7CD8" w:rsidRPr="007B117A">
        <w:rPr>
          <w:rFonts w:ascii="Times New Roman" w:hAnsi="Times New Roman"/>
          <w:sz w:val="24"/>
          <w:szCs w:val="24"/>
        </w:rPr>
        <w:t xml:space="preserve">O tamanho da letra utilizado </w:t>
      </w:r>
      <w:r w:rsidR="00114552">
        <w:rPr>
          <w:rFonts w:ascii="Times New Roman" w:hAnsi="Times New Roman"/>
          <w:sz w:val="24"/>
          <w:szCs w:val="24"/>
        </w:rPr>
        <w:t>no título d</w:t>
      </w:r>
      <w:r w:rsidR="007F7CD8" w:rsidRPr="007B117A">
        <w:rPr>
          <w:rFonts w:ascii="Times New Roman" w:hAnsi="Times New Roman"/>
          <w:sz w:val="24"/>
          <w:szCs w:val="24"/>
        </w:rPr>
        <w:t xml:space="preserve">as </w:t>
      </w:r>
      <w:r w:rsidR="006C6F12">
        <w:rPr>
          <w:rFonts w:ascii="Times New Roman" w:hAnsi="Times New Roman"/>
          <w:sz w:val="24"/>
          <w:szCs w:val="24"/>
        </w:rPr>
        <w:t>figuras</w:t>
      </w:r>
      <w:r w:rsidR="007F7CD8" w:rsidRPr="007B117A">
        <w:rPr>
          <w:rFonts w:ascii="Times New Roman" w:hAnsi="Times New Roman"/>
          <w:sz w:val="24"/>
          <w:szCs w:val="24"/>
        </w:rPr>
        <w:t xml:space="preserve"> </w:t>
      </w:r>
      <w:r w:rsidR="007F7CD8">
        <w:rPr>
          <w:rFonts w:ascii="Times New Roman" w:hAnsi="Times New Roman"/>
          <w:sz w:val="24"/>
          <w:szCs w:val="24"/>
        </w:rPr>
        <w:t xml:space="preserve">deve ser </w:t>
      </w:r>
      <w:r w:rsidR="007F7CD8" w:rsidRPr="007B117A">
        <w:rPr>
          <w:rFonts w:ascii="Times New Roman" w:hAnsi="Times New Roman"/>
          <w:sz w:val="24"/>
          <w:szCs w:val="24"/>
        </w:rPr>
        <w:t>igual ao do texto</w:t>
      </w:r>
      <w:r w:rsidR="006C6F12">
        <w:rPr>
          <w:rFonts w:ascii="Times New Roman" w:hAnsi="Times New Roman"/>
          <w:sz w:val="24"/>
          <w:szCs w:val="24"/>
        </w:rPr>
        <w:t>.</w:t>
      </w:r>
      <w:r w:rsidR="00E7521D">
        <w:rPr>
          <w:rFonts w:ascii="Times New Roman" w:hAnsi="Times New Roman"/>
          <w:sz w:val="24"/>
          <w:szCs w:val="24"/>
        </w:rPr>
        <w:t xml:space="preserve"> Tanto os quadros como as figuras e tabelas devem estar legíveis, em dimensões compatíveis com as sugestões de formatação do artigo. Caso figuras, tabelas e quadros tenham dimensões maiores, os ajustes devem ser feitos pelos próprios autores. </w:t>
      </w:r>
    </w:p>
    <w:p w14:paraId="1983A873" w14:textId="77777777" w:rsidR="005D1AC9" w:rsidRPr="007B117A" w:rsidRDefault="005D1AC9" w:rsidP="005D1A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lastRenderedPageBreak/>
        <w:t>(1 espaço)</w:t>
      </w:r>
    </w:p>
    <w:p w14:paraId="6AE214D9" w14:textId="432BBB19" w:rsidR="009211F2" w:rsidRPr="007B117A" w:rsidRDefault="00333688" w:rsidP="009E369E">
      <w:pPr>
        <w:pStyle w:val="Corpodetexto2"/>
        <w:widowControl w:val="0"/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7B117A">
        <w:rPr>
          <w:rFonts w:ascii="Times New Roman" w:hAnsi="Times New Roman"/>
          <w:noProof/>
          <w:sz w:val="24"/>
          <w:szCs w:val="24"/>
          <w:lang w:val="pt-BR" w:eastAsia="pt-BR"/>
        </w:rPr>
        <w:drawing>
          <wp:inline distT="0" distB="0" distL="0" distR="0" wp14:anchorId="0C2DF403" wp14:editId="3C37C921">
            <wp:extent cx="2476500" cy="1543050"/>
            <wp:effectExtent l="0" t="0" r="0" b="0"/>
            <wp:docPr id="1" name="Imagem 1" descr="A imagem pode conter: planta, flor, natureza e atividades ao ar liv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imagem pode conter: planta, flor, natureza e atividades ao ar livr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6B733" w14:textId="77777777" w:rsidR="005D1AC9" w:rsidRDefault="005D1AC9" w:rsidP="005D1AC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79EF0ECB" w14:textId="77777777" w:rsidR="004C0632" w:rsidRDefault="004C0632" w:rsidP="004C0632">
      <w:pPr>
        <w:pStyle w:val="NormalWeb"/>
        <w:spacing w:before="0" w:beforeAutospacing="0" w:after="0" w:afterAutospacing="0"/>
        <w:jc w:val="both"/>
        <w:rPr>
          <w:rFonts w:eastAsia="Calibri"/>
          <w:lang w:eastAsia="en-US"/>
        </w:rPr>
      </w:pPr>
      <w:r w:rsidRPr="009E369E">
        <w:rPr>
          <w:rFonts w:eastAsia="Calibri"/>
          <w:b/>
          <w:sz w:val="20"/>
          <w:szCs w:val="20"/>
          <w:lang w:eastAsia="en-US"/>
        </w:rPr>
        <w:t>F</w:t>
      </w:r>
      <w:r w:rsidRPr="007F7CD8">
        <w:rPr>
          <w:rFonts w:eastAsia="Calibri"/>
          <w:b/>
          <w:lang w:eastAsia="en-US"/>
        </w:rPr>
        <w:t>igura 1 –</w:t>
      </w:r>
      <w:r w:rsidRPr="007F7CD8">
        <w:rPr>
          <w:rFonts w:eastAsia="Calibri"/>
          <w:lang w:eastAsia="en-US"/>
        </w:rPr>
        <w:t xml:space="preserve"> Foto da </w:t>
      </w:r>
      <w:proofErr w:type="spellStart"/>
      <w:r w:rsidRPr="007F7CD8">
        <w:rPr>
          <w:rFonts w:eastAsia="Calibri"/>
          <w:lang w:eastAsia="en-US"/>
        </w:rPr>
        <w:t>Tumbérgia</w:t>
      </w:r>
      <w:proofErr w:type="spellEnd"/>
      <w:r w:rsidRPr="007F7CD8">
        <w:rPr>
          <w:rFonts w:eastAsia="Calibri"/>
          <w:lang w:eastAsia="en-US"/>
        </w:rPr>
        <w:t xml:space="preserve"> azul (</w:t>
      </w:r>
      <w:proofErr w:type="spellStart"/>
      <w:r w:rsidRPr="00171F2A">
        <w:rPr>
          <w:rFonts w:eastAsia="Calibri"/>
          <w:i/>
          <w:lang w:eastAsia="en-US"/>
        </w:rPr>
        <w:t>Thunbergia</w:t>
      </w:r>
      <w:proofErr w:type="spellEnd"/>
      <w:r w:rsidRPr="00171F2A">
        <w:rPr>
          <w:rFonts w:eastAsia="Calibri"/>
          <w:i/>
          <w:lang w:eastAsia="en-US"/>
        </w:rPr>
        <w:t xml:space="preserve"> </w:t>
      </w:r>
      <w:proofErr w:type="spellStart"/>
      <w:r w:rsidRPr="00171F2A">
        <w:rPr>
          <w:rFonts w:eastAsia="Calibri"/>
          <w:i/>
          <w:lang w:eastAsia="en-US"/>
        </w:rPr>
        <w:t>grandiflora</w:t>
      </w:r>
      <w:proofErr w:type="spellEnd"/>
      <w:r w:rsidRPr="007F7CD8">
        <w:rPr>
          <w:rFonts w:eastAsia="Calibri"/>
          <w:lang w:eastAsia="en-US"/>
        </w:rPr>
        <w:t xml:space="preserve"> </w:t>
      </w:r>
      <w:proofErr w:type="spellStart"/>
      <w:r w:rsidRPr="007F7CD8">
        <w:rPr>
          <w:rFonts w:eastAsia="Calibri"/>
          <w:lang w:eastAsia="en-US"/>
        </w:rPr>
        <w:t>Roxb</w:t>
      </w:r>
      <w:proofErr w:type="spellEnd"/>
      <w:r w:rsidRPr="007F7CD8">
        <w:rPr>
          <w:rFonts w:eastAsia="Calibri"/>
          <w:lang w:eastAsia="en-US"/>
        </w:rPr>
        <w:t>) cultivada no Sítio Estância Nova, Itatiba, São Paulo (22°59'57.6"S 46°48'01.6"W; -22.999331,-46.800444</w:t>
      </w:r>
      <w:r w:rsidR="002D52B1">
        <w:rPr>
          <w:rFonts w:eastAsia="Calibri"/>
          <w:lang w:eastAsia="en-US"/>
        </w:rPr>
        <w:t xml:space="preserve"> -</w:t>
      </w:r>
      <w:r w:rsidRPr="007F7CD8">
        <w:rPr>
          <w:rFonts w:eastAsia="Calibri"/>
          <w:lang w:eastAsia="en-US"/>
        </w:rPr>
        <w:t xml:space="preserve"> (Fonte: Próprio autor). </w:t>
      </w:r>
    </w:p>
    <w:p w14:paraId="631777E8" w14:textId="77777777" w:rsidR="00114552" w:rsidRDefault="00114552" w:rsidP="00114552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165FEA5B" w14:textId="77777777" w:rsidR="00E7521D" w:rsidRDefault="001D05B7" w:rsidP="00E7521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sz w:val="24"/>
          <w:szCs w:val="24"/>
        </w:rPr>
        <w:t>Não se deve utilizar letra de tamanho maior que o texto. A identificação da fonte da qual foram extraídos os dados utilizados na construção das tabelas</w:t>
      </w:r>
      <w:r>
        <w:rPr>
          <w:rFonts w:ascii="Times New Roman" w:hAnsi="Times New Roman"/>
          <w:sz w:val="24"/>
          <w:szCs w:val="24"/>
        </w:rPr>
        <w:t>, figuras, quadros</w:t>
      </w:r>
      <w:r w:rsidRPr="007B117A">
        <w:rPr>
          <w:rFonts w:ascii="Times New Roman" w:hAnsi="Times New Roman"/>
          <w:sz w:val="24"/>
          <w:szCs w:val="24"/>
        </w:rPr>
        <w:t xml:space="preserve"> deve vir </w:t>
      </w:r>
      <w:r>
        <w:rPr>
          <w:rFonts w:ascii="Times New Roman" w:hAnsi="Times New Roman"/>
          <w:sz w:val="24"/>
          <w:szCs w:val="24"/>
        </w:rPr>
        <w:t>ao final da tabela</w:t>
      </w:r>
      <w:r w:rsidRPr="007B117A">
        <w:rPr>
          <w:rFonts w:ascii="Times New Roman" w:hAnsi="Times New Roman"/>
          <w:sz w:val="24"/>
          <w:szCs w:val="24"/>
        </w:rPr>
        <w:t>, precedido da palavra "Fonte". A fonte das legendas deve ser tamanho</w:t>
      </w:r>
      <w:r>
        <w:rPr>
          <w:rFonts w:ascii="Times New Roman" w:hAnsi="Times New Roman"/>
          <w:sz w:val="24"/>
          <w:szCs w:val="24"/>
        </w:rPr>
        <w:t xml:space="preserve"> </w:t>
      </w:r>
      <w:r w:rsidRPr="007B117A">
        <w:rPr>
          <w:rFonts w:ascii="Times New Roman" w:hAnsi="Times New Roman"/>
          <w:sz w:val="24"/>
          <w:szCs w:val="24"/>
        </w:rPr>
        <w:t>10.</w:t>
      </w:r>
      <w:r>
        <w:rPr>
          <w:rFonts w:ascii="Times New Roman" w:hAnsi="Times New Roman"/>
          <w:sz w:val="24"/>
          <w:szCs w:val="24"/>
        </w:rPr>
        <w:t xml:space="preserve">  </w:t>
      </w:r>
    </w:p>
    <w:p w14:paraId="78AE6E2F" w14:textId="77777777" w:rsidR="005A0C0E" w:rsidRDefault="005A0C0E" w:rsidP="001D05B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No Quadro 2 estão </w:t>
      </w:r>
      <w:r w:rsidR="00E7521D" w:rsidRPr="004D16FB">
        <w:rPr>
          <w:rFonts w:ascii="Times New Roman" w:hAnsi="Times New Roman"/>
          <w:sz w:val="24"/>
          <w:szCs w:val="24"/>
        </w:rPr>
        <w:t>instruções que são utilizadas pelos avaliadores</w:t>
      </w:r>
      <w:r w:rsidR="00274821">
        <w:rPr>
          <w:rFonts w:ascii="Times New Roman" w:hAnsi="Times New Roman"/>
          <w:sz w:val="24"/>
          <w:szCs w:val="24"/>
        </w:rPr>
        <w:t>, estas podem ser utilizadas pelos autores</w:t>
      </w:r>
      <w:r w:rsidR="00CE7996">
        <w:rPr>
          <w:rFonts w:ascii="Times New Roman" w:hAnsi="Times New Roman"/>
          <w:sz w:val="24"/>
          <w:szCs w:val="24"/>
        </w:rPr>
        <w:t>, antes da submissão do artigo,</w:t>
      </w:r>
      <w:r w:rsidR="00274821">
        <w:rPr>
          <w:rFonts w:ascii="Times New Roman" w:hAnsi="Times New Roman"/>
          <w:sz w:val="24"/>
          <w:szCs w:val="24"/>
        </w:rPr>
        <w:t xml:space="preserve"> a fim de realizar um </w:t>
      </w:r>
      <w:proofErr w:type="spellStart"/>
      <w:r w:rsidR="00CE7996">
        <w:rPr>
          <w:rFonts w:ascii="Times New Roman" w:hAnsi="Times New Roman"/>
          <w:i/>
          <w:sz w:val="24"/>
          <w:szCs w:val="24"/>
        </w:rPr>
        <w:t>Check</w:t>
      </w:r>
      <w:proofErr w:type="spellEnd"/>
      <w:r w:rsidR="00CE7996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CE7996">
        <w:rPr>
          <w:rFonts w:ascii="Times New Roman" w:hAnsi="Times New Roman"/>
          <w:i/>
          <w:sz w:val="24"/>
          <w:szCs w:val="24"/>
        </w:rPr>
        <w:t>L</w:t>
      </w:r>
      <w:r w:rsidR="00274821" w:rsidRPr="00274821">
        <w:rPr>
          <w:rFonts w:ascii="Times New Roman" w:hAnsi="Times New Roman"/>
          <w:i/>
          <w:sz w:val="24"/>
          <w:szCs w:val="24"/>
        </w:rPr>
        <w:t>ist</w:t>
      </w:r>
      <w:proofErr w:type="spellEnd"/>
      <w:r w:rsidR="00274821">
        <w:rPr>
          <w:rFonts w:ascii="Times New Roman" w:hAnsi="Times New Roman"/>
          <w:sz w:val="24"/>
          <w:szCs w:val="24"/>
        </w:rPr>
        <w:t xml:space="preserve"> na observação se o mesmo atente às “Diretrizes para Autores”</w:t>
      </w:r>
      <w:r w:rsidR="004D16FB">
        <w:rPr>
          <w:rFonts w:ascii="Times New Roman" w:hAnsi="Times New Roman"/>
          <w:sz w:val="24"/>
          <w:szCs w:val="24"/>
        </w:rPr>
        <w:t>. Estas instruções</w:t>
      </w:r>
      <w:r w:rsidR="00E7521D" w:rsidRPr="004D16FB">
        <w:rPr>
          <w:rFonts w:ascii="Times New Roman" w:hAnsi="Times New Roman"/>
          <w:sz w:val="24"/>
          <w:szCs w:val="24"/>
        </w:rPr>
        <w:t xml:space="preserve"> devem ser atendidas a fim uniformizar as publicações e para maior qualidade do conteúdo do periódico. </w:t>
      </w:r>
    </w:p>
    <w:p w14:paraId="56C60C11" w14:textId="77777777" w:rsidR="003F3AAA" w:rsidRDefault="003F3AAA" w:rsidP="003F3AAA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06C9BFEC" w14:textId="77777777" w:rsidR="00274821" w:rsidRDefault="00CE7996" w:rsidP="002748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E7996">
        <w:rPr>
          <w:rFonts w:ascii="Times New Roman" w:hAnsi="Times New Roman"/>
          <w:b/>
          <w:sz w:val="24"/>
          <w:szCs w:val="24"/>
        </w:rPr>
        <w:t>Quadro 2 –</w:t>
      </w:r>
      <w:r>
        <w:rPr>
          <w:rFonts w:ascii="Times New Roman" w:hAnsi="Times New Roman"/>
          <w:sz w:val="24"/>
          <w:szCs w:val="24"/>
        </w:rPr>
        <w:t xml:space="preserve"> Instruções para avaliação dos artigos e realização </w:t>
      </w:r>
      <w:r w:rsidRPr="00CE7996">
        <w:rPr>
          <w:rFonts w:ascii="Times New Roman" w:hAnsi="Times New Roman"/>
          <w:sz w:val="24"/>
          <w:szCs w:val="24"/>
        </w:rPr>
        <w:t>de</w:t>
      </w:r>
      <w:r w:rsidRPr="00CE7996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E7996">
        <w:rPr>
          <w:rFonts w:ascii="Times New Roman" w:hAnsi="Times New Roman"/>
          <w:i/>
          <w:sz w:val="24"/>
          <w:szCs w:val="24"/>
        </w:rPr>
        <w:t>Check</w:t>
      </w:r>
      <w:proofErr w:type="spellEnd"/>
      <w:r w:rsidRPr="00CE7996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CE7996">
        <w:rPr>
          <w:rFonts w:ascii="Times New Roman" w:hAnsi="Times New Roman"/>
          <w:i/>
          <w:sz w:val="24"/>
          <w:szCs w:val="24"/>
        </w:rPr>
        <w:t>List</w:t>
      </w:r>
      <w:proofErr w:type="spellEnd"/>
      <w:r>
        <w:rPr>
          <w:rFonts w:ascii="Times New Roman" w:hAnsi="Times New Roman"/>
          <w:sz w:val="24"/>
          <w:szCs w:val="24"/>
        </w:rPr>
        <w:t xml:space="preserve"> pelos autores</w:t>
      </w:r>
      <w:r w:rsidR="00B11E3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05"/>
      </w:tblGrid>
      <w:tr w:rsidR="004D16FB" w:rsidRPr="004D16FB" w14:paraId="4103C1A2" w14:textId="77777777" w:rsidTr="00274821">
        <w:tc>
          <w:tcPr>
            <w:tcW w:w="637" w:type="dxa"/>
          </w:tcPr>
          <w:p w14:paraId="04D468C0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Itens</w:t>
            </w:r>
          </w:p>
        </w:tc>
        <w:tc>
          <w:tcPr>
            <w:tcW w:w="8505" w:type="dxa"/>
          </w:tcPr>
          <w:p w14:paraId="63C34113" w14:textId="77777777" w:rsidR="004D16FB" w:rsidRPr="004D16FB" w:rsidRDefault="004D16FB" w:rsidP="0027482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Critérios de avaliação</w:t>
            </w:r>
            <w:r w:rsidR="00F4323E"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  <w:p w14:paraId="54A46000" w14:textId="77777777" w:rsidR="004D16FB" w:rsidRPr="004D16FB" w:rsidRDefault="004D16FB" w:rsidP="0027482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4D16FB" w:rsidRPr="004D16FB" w14:paraId="1BA569E4" w14:textId="77777777" w:rsidTr="00274821">
        <w:tc>
          <w:tcPr>
            <w:tcW w:w="637" w:type="dxa"/>
          </w:tcPr>
          <w:p w14:paraId="48283154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01</w:t>
            </w:r>
          </w:p>
        </w:tc>
        <w:tc>
          <w:tcPr>
            <w:tcW w:w="8505" w:type="dxa"/>
          </w:tcPr>
          <w:p w14:paraId="48F93650" w14:textId="77777777" w:rsidR="004D16FB" w:rsidRPr="004D16FB" w:rsidRDefault="004D16FB" w:rsidP="0027482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 xml:space="preserve">Apresentação: </w:t>
            </w:r>
            <w:r w:rsidR="00274821">
              <w:rPr>
                <w:rFonts w:ascii="Times New Roman" w:hAnsi="Times New Roman"/>
                <w:sz w:val="20"/>
                <w:szCs w:val="20"/>
              </w:rPr>
              <w:t>Verificar se o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manuscrito está devidamente apresentado conforme </w:t>
            </w:r>
            <w:proofErr w:type="spellStart"/>
            <w:r w:rsidRPr="004D16FB">
              <w:rPr>
                <w:rFonts w:ascii="Times New Roman" w:hAnsi="Times New Roman"/>
                <w:i/>
                <w:sz w:val="20"/>
                <w:szCs w:val="20"/>
              </w:rPr>
              <w:t>template</w:t>
            </w:r>
            <w:proofErr w:type="spellEnd"/>
            <w:r w:rsidRPr="004D16FB">
              <w:rPr>
                <w:rFonts w:ascii="Times New Roman" w:hAnsi="Times New Roman"/>
                <w:sz w:val="20"/>
                <w:szCs w:val="20"/>
              </w:rPr>
              <w:t xml:space="preserve"> sugerido pelo periódico em “Diretrizes para Autores”.</w:t>
            </w: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</w:tr>
      <w:tr w:rsidR="004D16FB" w:rsidRPr="004D16FB" w14:paraId="6D4FEE4E" w14:textId="77777777" w:rsidTr="00274821">
        <w:tc>
          <w:tcPr>
            <w:tcW w:w="637" w:type="dxa"/>
          </w:tcPr>
          <w:p w14:paraId="33DC069A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 xml:space="preserve">02 </w:t>
            </w:r>
          </w:p>
        </w:tc>
        <w:tc>
          <w:tcPr>
            <w:tcW w:w="8505" w:type="dxa"/>
          </w:tcPr>
          <w:p w14:paraId="1AF61352" w14:textId="77777777" w:rsidR="004D16FB" w:rsidRPr="004D16FB" w:rsidRDefault="004D16FB" w:rsidP="009E4739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 xml:space="preserve">Formatação: </w:t>
            </w:r>
            <w:r w:rsidR="00274821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Verificar se o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 xml:space="preserve"> manuscrito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apresenta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no mínimo </w:t>
            </w:r>
            <w:r w:rsidRPr="004D16FB">
              <w:rPr>
                <w:rFonts w:ascii="Times New Roman" w:hAnsi="Times New Roman"/>
                <w:bCs/>
                <w:iCs/>
                <w:sz w:val="20"/>
                <w:szCs w:val="20"/>
                <w:lang w:val="pt-BR"/>
              </w:rPr>
              <w:t>10</w:t>
            </w:r>
            <w:r w:rsidRPr="004D16FB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e no máximo </w:t>
            </w:r>
            <w:r w:rsidRPr="004D16FB">
              <w:rPr>
                <w:rFonts w:ascii="Times New Roman" w:hAnsi="Times New Roman"/>
                <w:bCs/>
                <w:iCs/>
                <w:sz w:val="20"/>
                <w:szCs w:val="20"/>
                <w:lang w:val="pt-BR"/>
              </w:rPr>
              <w:t>2</w:t>
            </w:r>
            <w:r w:rsidRPr="004D16FB">
              <w:rPr>
                <w:rFonts w:ascii="Times New Roman" w:hAnsi="Times New Roman"/>
                <w:bCs/>
                <w:iCs/>
                <w:sz w:val="20"/>
                <w:szCs w:val="20"/>
              </w:rPr>
              <w:t>0 páginas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, </w:t>
            </w:r>
            <w:r w:rsidRPr="004D16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incluindo as referências e anexo (quando necessário) 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utilizando </w:t>
            </w:r>
            <w:r w:rsidR="009E4739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folha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A4 com margens de 2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,5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cm na direita, esquerda, superior e inferior. A letra 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está em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Times New Roman 12 e o espaçamento simples, o alinhamento justificado e a tabulação 1,25. </w:t>
            </w:r>
          </w:p>
        </w:tc>
      </w:tr>
      <w:tr w:rsidR="004D16FB" w:rsidRPr="004D16FB" w14:paraId="710FCC19" w14:textId="77777777" w:rsidTr="00274821">
        <w:tc>
          <w:tcPr>
            <w:tcW w:w="637" w:type="dxa"/>
          </w:tcPr>
          <w:p w14:paraId="2E76050C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03</w:t>
            </w:r>
          </w:p>
        </w:tc>
        <w:tc>
          <w:tcPr>
            <w:tcW w:w="8505" w:type="dxa"/>
          </w:tcPr>
          <w:p w14:paraId="00AC679E" w14:textId="77777777" w:rsidR="004D16FB" w:rsidRPr="004D16FB" w:rsidRDefault="004D16FB" w:rsidP="00274821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Título: </w:t>
            </w:r>
            <w:r w:rsidR="00274821">
              <w:rPr>
                <w:rFonts w:ascii="Times New Roman" w:hAnsi="Times New Roman"/>
                <w:sz w:val="20"/>
                <w:szCs w:val="20"/>
                <w:lang w:val="pt-BR"/>
              </w:rPr>
              <w:t>Avaliar se o mesmo a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presenta-se de forma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clar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a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, sucint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a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coerente,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compatível com o conteúdo do trabalho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e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também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está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apresentado em </w:t>
            </w:r>
            <w:r w:rsidR="009E4739" w:rsidRPr="004D16FB">
              <w:rPr>
                <w:rFonts w:ascii="Times New Roman" w:hAnsi="Times New Roman"/>
                <w:sz w:val="20"/>
                <w:szCs w:val="20"/>
              </w:rPr>
              <w:t>INGLÊS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.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Está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centralizado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 xml:space="preserve">, 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>em letras maiúsculas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,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em negrito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, seguido do título em inglês</w:t>
            </w:r>
            <w:r w:rsidR="00274821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>,</w:t>
            </w:r>
            <w:r w:rsidR="009E4739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 xml:space="preserve"> este</w:t>
            </w:r>
            <w:r w:rsidR="00274821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 xml:space="preserve"> sem negrito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 xml:space="preserve"> e em itálico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. </w:t>
            </w:r>
            <w:r w:rsidRPr="004D16FB">
              <w:rPr>
                <w:rFonts w:ascii="Times New Roman" w:hAnsi="Times New Roman"/>
                <w:iCs/>
                <w:sz w:val="20"/>
                <w:szCs w:val="20"/>
                <w:lang w:val="pt-BR"/>
              </w:rPr>
              <w:t xml:space="preserve">Se houver subtítulo, este deverá estar separado do título principal por dois pontos. </w:t>
            </w:r>
          </w:p>
        </w:tc>
      </w:tr>
      <w:tr w:rsidR="004D16FB" w:rsidRPr="004D16FB" w14:paraId="7805B389" w14:textId="77777777" w:rsidTr="00274821">
        <w:tc>
          <w:tcPr>
            <w:tcW w:w="637" w:type="dxa"/>
            <w:vMerge w:val="restart"/>
          </w:tcPr>
          <w:p w14:paraId="0615C1AA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04</w:t>
            </w:r>
          </w:p>
        </w:tc>
        <w:tc>
          <w:tcPr>
            <w:tcW w:w="8505" w:type="dxa"/>
          </w:tcPr>
          <w:p w14:paraId="0BB3490A" w14:textId="77777777" w:rsidR="004D16FB" w:rsidRPr="004D16FB" w:rsidRDefault="004D16FB" w:rsidP="002748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Resumo e Abstract: </w:t>
            </w:r>
            <w:r w:rsidR="00274821">
              <w:rPr>
                <w:rFonts w:ascii="Times New Roman" w:hAnsi="Times New Roman"/>
                <w:bCs/>
                <w:sz w:val="20"/>
                <w:szCs w:val="20"/>
              </w:rPr>
              <w:t>O</w:t>
            </w:r>
            <w:r w:rsidRPr="004D16FB">
              <w:rPr>
                <w:rFonts w:ascii="Times New Roman" w:hAnsi="Times New Roman"/>
                <w:bCs/>
                <w:sz w:val="20"/>
                <w:szCs w:val="20"/>
              </w:rPr>
              <w:t xml:space="preserve"> resumo e </w:t>
            </w:r>
            <w:r w:rsidRPr="004D16FB">
              <w:rPr>
                <w:rFonts w:ascii="Times New Roman" w:hAnsi="Times New Roman"/>
                <w:bCs/>
                <w:i/>
                <w:sz w:val="20"/>
                <w:szCs w:val="20"/>
              </w:rPr>
              <w:t>Abstract</w:t>
            </w:r>
            <w:r w:rsidRPr="004D16FB">
              <w:rPr>
                <w:rFonts w:ascii="Times New Roman" w:hAnsi="Times New Roman"/>
                <w:bCs/>
                <w:sz w:val="20"/>
                <w:szCs w:val="20"/>
              </w:rPr>
              <w:t xml:space="preserve"> são elementos obrigatórios. Devem ser apresentados em português e em inglês. Não devem ultrapassar 250 (duzentas e cinquenta). </w:t>
            </w:r>
            <w:r w:rsidRPr="004D16FB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Deve se apresentar de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forma clara e concisa. Não devem ser citadas referências bibliográficas em resumos. </w:t>
            </w:r>
            <w:r w:rsidR="00CE7996">
              <w:rPr>
                <w:rFonts w:ascii="Times New Roman" w:hAnsi="Times New Roman"/>
                <w:sz w:val="20"/>
                <w:szCs w:val="20"/>
              </w:rPr>
              <w:t xml:space="preserve">Avaliar a capacidade de síntese.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Verificar qual a modalidade de </w:t>
            </w:r>
            <w:r w:rsidR="00274821" w:rsidRPr="004D16FB">
              <w:rPr>
                <w:rFonts w:ascii="Times New Roman" w:hAnsi="Times New Roman"/>
                <w:sz w:val="20"/>
                <w:szCs w:val="20"/>
              </w:rPr>
              <w:t>artigo e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seguir a mais indicada para avaliar o resumo:</w:t>
            </w:r>
          </w:p>
        </w:tc>
      </w:tr>
      <w:tr w:rsidR="004D16FB" w:rsidRPr="004D16FB" w14:paraId="6C0777A6" w14:textId="77777777" w:rsidTr="00274821">
        <w:tc>
          <w:tcPr>
            <w:tcW w:w="637" w:type="dxa"/>
            <w:vMerge/>
          </w:tcPr>
          <w:p w14:paraId="0DC583BC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6D5B8B9A" w14:textId="77777777" w:rsidR="004D16FB" w:rsidRPr="004D16FB" w:rsidRDefault="004D16FB" w:rsidP="00274821">
            <w:pPr>
              <w:numPr>
                <w:ilvl w:val="0"/>
                <w:numId w:val="2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b/>
                <w:i/>
                <w:color w:val="00B050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Resumo e Abstract de artigos relativos à divulgação de pesquisas</w:t>
            </w:r>
            <w:r w:rsidRPr="004D16FB">
              <w:rPr>
                <w:rFonts w:ascii="Times New Roman" w:hAnsi="Times New Roman"/>
                <w:b/>
                <w:i/>
                <w:color w:val="00B050"/>
                <w:sz w:val="20"/>
                <w:szCs w:val="20"/>
              </w:rPr>
              <w:t>.</w:t>
            </w:r>
            <w:r w:rsidRPr="004D16FB">
              <w:rPr>
                <w:rFonts w:ascii="Times New Roman" w:hAnsi="Times New Roman"/>
                <w:iCs/>
                <w:color w:val="00B050"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>Nesse caso, além do exposto acima, o resumo deve contemplar os elementos: introdução, objetivo(s), metodologia (participantes, instrumentos e procedimentos), resultados e conclusão.</w:t>
            </w:r>
          </w:p>
        </w:tc>
      </w:tr>
      <w:tr w:rsidR="004D16FB" w:rsidRPr="004D16FB" w14:paraId="413BE69D" w14:textId="77777777" w:rsidTr="00274821">
        <w:tc>
          <w:tcPr>
            <w:tcW w:w="637" w:type="dxa"/>
            <w:vMerge/>
          </w:tcPr>
          <w:p w14:paraId="7585F9F0" w14:textId="77777777" w:rsidR="004D16FB" w:rsidRPr="004D16FB" w:rsidRDefault="004D16FB" w:rsidP="002748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2FD255EA" w14:textId="77777777" w:rsidR="004D16FB" w:rsidRPr="003F3AAA" w:rsidRDefault="004D16FB" w:rsidP="00274821">
            <w:pPr>
              <w:numPr>
                <w:ilvl w:val="0"/>
                <w:numId w:val="2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Resumo e Abstract de artigos relativos à reflexão teórica, discussões teórico-práticas ou outros que não apresentem necessariamente uma metodologia convencional de pesquisa</w:t>
            </w:r>
            <w:r w:rsidRPr="004D16FB">
              <w:rPr>
                <w:rFonts w:ascii="Times New Roman" w:hAnsi="Times New Roman"/>
                <w:color w:val="00B050"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deverão considerar a sequência de momentos sintetizados no texto. Nesse caso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>, além do exposto acima, o resumo deve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contemplar</w:t>
            </w:r>
            <w:r w:rsidRPr="004D16FB">
              <w:rPr>
                <w:rFonts w:ascii="Times New Roman" w:hAnsi="Times New Roman"/>
                <w:iCs/>
                <w:sz w:val="20"/>
                <w:szCs w:val="20"/>
              </w:rPr>
              <w:t xml:space="preserve"> introdução apresentando o tema do trabalho e seu (s) objetivo (s</w:t>
            </w:r>
            <w:r w:rsidR="003F3AAA">
              <w:rPr>
                <w:rFonts w:ascii="Times New Roman" w:hAnsi="Times New Roman"/>
                <w:iCs/>
                <w:sz w:val="20"/>
                <w:szCs w:val="20"/>
              </w:rPr>
              <w:t>), desenvolvimento e conclusões</w:t>
            </w:r>
          </w:p>
          <w:p w14:paraId="3336B0E0" w14:textId="77777777" w:rsidR="003F3AAA" w:rsidRDefault="003F3AAA" w:rsidP="003F3AAA">
            <w:pPr>
              <w:spacing w:after="0" w:line="240" w:lineRule="auto"/>
              <w:ind w:left="356"/>
              <w:jc w:val="both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  <w:p w14:paraId="542C440F" w14:textId="77777777" w:rsidR="003F3AAA" w:rsidRPr="004D16FB" w:rsidRDefault="003F3AAA" w:rsidP="003F3AAA">
            <w:pPr>
              <w:spacing w:after="0" w:line="240" w:lineRule="auto"/>
              <w:ind w:left="356"/>
              <w:jc w:val="both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</w:tr>
    </w:tbl>
    <w:p w14:paraId="320AF5D8" w14:textId="77777777" w:rsidR="00CE7996" w:rsidRDefault="00CE7996">
      <w:pPr>
        <w:rPr>
          <w:rFonts w:ascii="Times New Roman" w:hAnsi="Times New Roman"/>
          <w:sz w:val="24"/>
          <w:szCs w:val="24"/>
        </w:rPr>
      </w:pPr>
      <w:r w:rsidRPr="00CE7996">
        <w:rPr>
          <w:rFonts w:ascii="Times New Roman" w:hAnsi="Times New Roman"/>
          <w:sz w:val="20"/>
          <w:szCs w:val="20"/>
        </w:rPr>
        <w:t>Cont. Quadro 2</w:t>
      </w:r>
    </w:p>
    <w:p w14:paraId="69862D04" w14:textId="77777777" w:rsidR="00CE7996" w:rsidRPr="003F3AAA" w:rsidRDefault="00CE7996" w:rsidP="00CE7996">
      <w:pPr>
        <w:rPr>
          <w:rFonts w:ascii="Times New Roman" w:hAnsi="Times New Roman"/>
          <w:color w:val="FF0000"/>
          <w:sz w:val="24"/>
          <w:szCs w:val="24"/>
        </w:rPr>
      </w:pPr>
      <w:r w:rsidRPr="00CE7996">
        <w:rPr>
          <w:rFonts w:ascii="Times New Roman" w:hAnsi="Times New Roman"/>
          <w:sz w:val="20"/>
          <w:szCs w:val="20"/>
        </w:rPr>
        <w:lastRenderedPageBreak/>
        <w:t>Cont. Quadro 2</w:t>
      </w:r>
      <w:r w:rsidR="003F3AAA">
        <w:rPr>
          <w:rFonts w:ascii="Times New Roman" w:hAnsi="Times New Roman"/>
          <w:sz w:val="20"/>
          <w:szCs w:val="20"/>
        </w:rPr>
        <w:t xml:space="preserve"> </w:t>
      </w:r>
      <w:r w:rsidR="003F3AAA" w:rsidRPr="003F3AAA">
        <w:rPr>
          <w:rFonts w:ascii="Times New Roman" w:hAnsi="Times New Roman"/>
          <w:color w:val="FF0000"/>
          <w:sz w:val="20"/>
          <w:szCs w:val="20"/>
        </w:rPr>
        <w:t xml:space="preserve">(Este é exemplo de como é possível quebrar um quadro ou tabela a fim de adequá-los na página) 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05"/>
      </w:tblGrid>
      <w:tr w:rsidR="00CE7996" w:rsidRPr="004D16FB" w14:paraId="424DE8AE" w14:textId="77777777" w:rsidTr="00274821">
        <w:tc>
          <w:tcPr>
            <w:tcW w:w="637" w:type="dxa"/>
          </w:tcPr>
          <w:p w14:paraId="5B79F294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Itens</w:t>
            </w:r>
          </w:p>
        </w:tc>
        <w:tc>
          <w:tcPr>
            <w:tcW w:w="8505" w:type="dxa"/>
          </w:tcPr>
          <w:p w14:paraId="705C08D4" w14:textId="77777777" w:rsidR="00CE7996" w:rsidRPr="004D16FB" w:rsidRDefault="00CE7996" w:rsidP="00CE79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Critérios de avaliação</w:t>
            </w:r>
            <w:r w:rsidR="00F4323E"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  <w:p w14:paraId="15CBB0E4" w14:textId="77777777" w:rsidR="00CE7996" w:rsidRPr="004D16FB" w:rsidRDefault="00CE7996" w:rsidP="00CE799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E7996" w:rsidRPr="004D16FB" w14:paraId="6DC34043" w14:textId="77777777" w:rsidTr="00274821">
        <w:tc>
          <w:tcPr>
            <w:tcW w:w="637" w:type="dxa"/>
          </w:tcPr>
          <w:p w14:paraId="41E42A7C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05</w:t>
            </w:r>
          </w:p>
        </w:tc>
        <w:tc>
          <w:tcPr>
            <w:tcW w:w="8505" w:type="dxa"/>
          </w:tcPr>
          <w:p w14:paraId="693EB7A1" w14:textId="77777777" w:rsidR="00CE7996" w:rsidRPr="004D16FB" w:rsidRDefault="00CE7996" w:rsidP="00CE799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Palavras-chave e Keywords: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devem ser esclarecedores e condizentes ao trabalho. As </w:t>
            </w:r>
            <w:r w:rsidRPr="004D16FB">
              <w:rPr>
                <w:rFonts w:ascii="Times New Roman" w:hAnsi="Times New Roman"/>
                <w:bCs/>
                <w:sz w:val="20"/>
                <w:szCs w:val="20"/>
              </w:rPr>
              <w:t xml:space="preserve">palavras-chave devem aparecer logo abaixo do resumo e </w:t>
            </w:r>
            <w:r w:rsidRPr="004D16FB">
              <w:rPr>
                <w:rFonts w:ascii="Times New Roman" w:hAnsi="Times New Roman"/>
                <w:bCs/>
                <w:i/>
                <w:sz w:val="20"/>
                <w:szCs w:val="20"/>
              </w:rPr>
              <w:t>Abstract</w:t>
            </w:r>
            <w:r w:rsidRPr="004D16FB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</w:p>
          <w:p w14:paraId="26177A80" w14:textId="77777777" w:rsidR="00CE7996" w:rsidRPr="004D16FB" w:rsidRDefault="00CE7996" w:rsidP="00CE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7996" w:rsidRPr="004D16FB" w14:paraId="4E75000B" w14:textId="77777777" w:rsidTr="00274821">
        <w:tc>
          <w:tcPr>
            <w:tcW w:w="637" w:type="dxa"/>
            <w:vMerge w:val="restart"/>
          </w:tcPr>
          <w:p w14:paraId="76853A48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06</w:t>
            </w:r>
          </w:p>
        </w:tc>
        <w:tc>
          <w:tcPr>
            <w:tcW w:w="8505" w:type="dxa"/>
          </w:tcPr>
          <w:p w14:paraId="7019C461" w14:textId="77777777" w:rsidR="00CE7996" w:rsidRDefault="00CE7996" w:rsidP="00CE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Estrutura: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o manuscrito deverá conter Introdução, Desenvolvimento/Metodologia e Conclusão. Verificar qual a modalidade de artigo e seguir a mais indicada para avaliar a sua estrutura:</w:t>
            </w:r>
          </w:p>
          <w:p w14:paraId="278FB08E" w14:textId="77777777" w:rsidR="00763A6C" w:rsidRPr="004D16FB" w:rsidRDefault="00763A6C" w:rsidP="00CE799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1E36" w:rsidRPr="004D16FB" w14:paraId="624A15F3" w14:textId="77777777" w:rsidTr="00274821">
        <w:tc>
          <w:tcPr>
            <w:tcW w:w="637" w:type="dxa"/>
            <w:vMerge/>
          </w:tcPr>
          <w:p w14:paraId="798F7245" w14:textId="77777777" w:rsidR="00B11E36" w:rsidRPr="004D16FB" w:rsidRDefault="00B11E36" w:rsidP="00B11E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0F1FBDD3" w14:textId="77777777" w:rsidR="00B11E36" w:rsidRDefault="00B11E36" w:rsidP="00B11E36">
            <w:pPr>
              <w:numPr>
                <w:ilvl w:val="0"/>
                <w:numId w:val="5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1E36">
              <w:rPr>
                <w:rFonts w:ascii="Times New Roman" w:hAnsi="Times New Roman"/>
                <w:b/>
                <w:sz w:val="20"/>
                <w:szCs w:val="20"/>
              </w:rPr>
              <w:t>Estrutura de artigos relativos à divulgação de pesquisas, contemplar:</w:t>
            </w:r>
            <w:r w:rsidRPr="00B11E36">
              <w:rPr>
                <w:rFonts w:ascii="Times New Roman" w:hAnsi="Times New Roman"/>
                <w:sz w:val="20"/>
                <w:szCs w:val="20"/>
              </w:rPr>
              <w:t xml:space="preserve"> Introdução onde também deverá estar explicitado o objetivo da pesquisa; Metodologia; Resultados e Discussão; Conclusão e; Referências.</w:t>
            </w:r>
          </w:p>
          <w:p w14:paraId="4FC20BC3" w14:textId="77777777" w:rsidR="00763A6C" w:rsidRPr="00B11E36" w:rsidRDefault="00763A6C" w:rsidP="009E4739">
            <w:pPr>
              <w:spacing w:after="0" w:line="240" w:lineRule="auto"/>
              <w:ind w:left="356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1E36" w:rsidRPr="004D16FB" w14:paraId="0279B3CA" w14:textId="77777777" w:rsidTr="00274821">
        <w:tc>
          <w:tcPr>
            <w:tcW w:w="637" w:type="dxa"/>
            <w:vMerge/>
          </w:tcPr>
          <w:p w14:paraId="4F38EA83" w14:textId="77777777" w:rsidR="00B11E36" w:rsidRPr="004D16FB" w:rsidRDefault="00B11E36" w:rsidP="00B11E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55897842" w14:textId="77777777" w:rsidR="00B11E36" w:rsidRDefault="00B11E36" w:rsidP="00B11E36">
            <w:pPr>
              <w:numPr>
                <w:ilvl w:val="0"/>
                <w:numId w:val="5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1E36">
              <w:rPr>
                <w:rFonts w:ascii="Times New Roman" w:hAnsi="Times New Roman"/>
                <w:b/>
                <w:sz w:val="20"/>
                <w:szCs w:val="20"/>
              </w:rPr>
              <w:t>Estrutura de artigos outros gêneros que não apresentem necessariamente uma metodologia convencional de pesquisa, contemplar:</w:t>
            </w:r>
            <w:r w:rsidRPr="00B11E36">
              <w:rPr>
                <w:rFonts w:ascii="Times New Roman" w:hAnsi="Times New Roman"/>
                <w:sz w:val="20"/>
                <w:szCs w:val="20"/>
              </w:rPr>
              <w:t xml:space="preserve"> Introdução onde também deverá estar explicitado o objetivo da pesquisa; Desenvolvimento onde também deverá estar indicada a forma como a pesquisa se procedeu; Considerações Finais e; Referências.</w:t>
            </w:r>
          </w:p>
          <w:p w14:paraId="15D75F8F" w14:textId="77777777" w:rsidR="00763A6C" w:rsidRPr="00B11E36" w:rsidRDefault="00763A6C" w:rsidP="009E4739">
            <w:pPr>
              <w:spacing w:after="0" w:line="240" w:lineRule="auto"/>
              <w:ind w:left="356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1E36" w:rsidRPr="004D16FB" w14:paraId="652A55A0" w14:textId="77777777" w:rsidTr="00274821">
        <w:tc>
          <w:tcPr>
            <w:tcW w:w="637" w:type="dxa"/>
            <w:vMerge/>
          </w:tcPr>
          <w:p w14:paraId="11F300C3" w14:textId="77777777" w:rsidR="00B11E36" w:rsidRPr="004D16FB" w:rsidRDefault="00B11E36" w:rsidP="00B11E3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3270EB0C" w14:textId="77777777" w:rsidR="00B11E36" w:rsidRDefault="00B11E36" w:rsidP="00B11E36">
            <w:pPr>
              <w:numPr>
                <w:ilvl w:val="0"/>
                <w:numId w:val="5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11E36">
              <w:rPr>
                <w:rFonts w:ascii="Times New Roman" w:hAnsi="Times New Roman"/>
                <w:b/>
                <w:sz w:val="20"/>
                <w:szCs w:val="20"/>
              </w:rPr>
              <w:t>Estrutura de artigos de Extensão Acadêmica, contemplar:</w:t>
            </w:r>
            <w:r w:rsidRPr="00B11E36">
              <w:rPr>
                <w:rFonts w:ascii="Times New Roman" w:hAnsi="Times New Roman"/>
                <w:sz w:val="20"/>
                <w:szCs w:val="20"/>
              </w:rPr>
              <w:t xml:space="preserve"> Introdução onde também deverá estar explicitado o objetivo da pesquisa; Desenvolvimento onde também deverá estar indicada a forma como a pesquisa se procedeu; Considerações Finais, identificar nesse contexto os impactos da ação e os mecanismos de transferência do conhecimento para o público beneficiário da ação e; Referências.</w:t>
            </w:r>
          </w:p>
          <w:p w14:paraId="30F5EA4D" w14:textId="77777777" w:rsidR="00763A6C" w:rsidRPr="00B11E36" w:rsidRDefault="00763A6C" w:rsidP="00763A6C">
            <w:pPr>
              <w:spacing w:after="0" w:line="240" w:lineRule="auto"/>
              <w:ind w:left="72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7996" w:rsidRPr="004D16FB" w14:paraId="513265CE" w14:textId="77777777" w:rsidTr="00274821">
        <w:tc>
          <w:tcPr>
            <w:tcW w:w="637" w:type="dxa"/>
          </w:tcPr>
          <w:p w14:paraId="2423CA2C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07</w:t>
            </w:r>
          </w:p>
        </w:tc>
        <w:tc>
          <w:tcPr>
            <w:tcW w:w="8505" w:type="dxa"/>
          </w:tcPr>
          <w:p w14:paraId="0C0FB4CE" w14:textId="77777777" w:rsidR="00CE7996" w:rsidRDefault="00CE7996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Originalidade: </w:t>
            </w:r>
            <w:r w:rsidR="00763A6C">
              <w:rPr>
                <w:rFonts w:ascii="Times New Roman" w:hAnsi="Times New Roman"/>
                <w:sz w:val="20"/>
                <w:szCs w:val="20"/>
              </w:rPr>
              <w:t>Avaliar o g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rau de ineditismo das ideias apresentadas.</w:t>
            </w:r>
            <w:r w:rsidR="00763A6C">
              <w:rPr>
                <w:rFonts w:ascii="Times New Roman" w:hAnsi="Times New Roman"/>
                <w:sz w:val="20"/>
                <w:szCs w:val="20"/>
              </w:rPr>
              <w:t xml:space="preserve"> Artigos de revisão também são aceitos. </w:t>
            </w:r>
          </w:p>
          <w:p w14:paraId="51980CDD" w14:textId="77777777" w:rsidR="00763A6C" w:rsidRPr="004D16FB" w:rsidRDefault="00763A6C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7996" w:rsidRPr="004D16FB" w14:paraId="5A8A67E8" w14:textId="77777777" w:rsidTr="00274821">
        <w:tc>
          <w:tcPr>
            <w:tcW w:w="637" w:type="dxa"/>
          </w:tcPr>
          <w:p w14:paraId="157882C7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08</w:t>
            </w:r>
          </w:p>
        </w:tc>
        <w:tc>
          <w:tcPr>
            <w:tcW w:w="8505" w:type="dxa"/>
          </w:tcPr>
          <w:p w14:paraId="4B3DD832" w14:textId="77777777" w:rsidR="00CE7996" w:rsidRDefault="00CE7996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Relevância Científica: </w:t>
            </w:r>
            <w:r w:rsidR="00763A6C">
              <w:rPr>
                <w:rFonts w:ascii="Times New Roman" w:hAnsi="Times New Roman"/>
                <w:sz w:val="20"/>
                <w:szCs w:val="20"/>
              </w:rPr>
              <w:t>Avaliar o c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aráter científico com contribuições para a área.</w:t>
            </w:r>
          </w:p>
          <w:p w14:paraId="1E9BD015" w14:textId="77777777" w:rsidR="00763A6C" w:rsidRPr="004D16FB" w:rsidRDefault="00763A6C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7996" w:rsidRPr="004D16FB" w14:paraId="0A7084D7" w14:textId="77777777" w:rsidTr="00274821">
        <w:tc>
          <w:tcPr>
            <w:tcW w:w="637" w:type="dxa"/>
          </w:tcPr>
          <w:p w14:paraId="0AC1048E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09</w:t>
            </w:r>
          </w:p>
        </w:tc>
        <w:tc>
          <w:tcPr>
            <w:tcW w:w="8505" w:type="dxa"/>
          </w:tcPr>
          <w:p w14:paraId="29D863D3" w14:textId="77777777" w:rsidR="00CE7996" w:rsidRDefault="00CE7996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Relevância Social: </w:t>
            </w:r>
            <w:r w:rsidR="00763A6C">
              <w:rPr>
                <w:rFonts w:ascii="Times New Roman" w:hAnsi="Times New Roman"/>
                <w:sz w:val="20"/>
                <w:szCs w:val="20"/>
              </w:rPr>
              <w:t xml:space="preserve">Avaliar a relevância social, neste caso apenas para artigos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voltados à Extensão e/ou Ciências Humanas e Sociais Aplicadas.</w:t>
            </w:r>
          </w:p>
          <w:p w14:paraId="6D7A5DE1" w14:textId="77777777" w:rsidR="00763A6C" w:rsidRPr="004D16FB" w:rsidRDefault="00763A6C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7996" w:rsidRPr="004D16FB" w14:paraId="74A699D7" w14:textId="77777777" w:rsidTr="00274821">
        <w:tc>
          <w:tcPr>
            <w:tcW w:w="637" w:type="dxa"/>
          </w:tcPr>
          <w:p w14:paraId="19A4E893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8505" w:type="dxa"/>
          </w:tcPr>
          <w:p w14:paraId="667B1948" w14:textId="77777777" w:rsidR="00CE7996" w:rsidRDefault="00CE7996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Linguagem e Redação: </w:t>
            </w:r>
            <w:r w:rsidR="00763A6C">
              <w:rPr>
                <w:rFonts w:ascii="Times New Roman" w:hAnsi="Times New Roman"/>
                <w:sz w:val="20"/>
                <w:szCs w:val="20"/>
              </w:rPr>
              <w:t>Avaliar se está escrito em p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ortuguês claro, com objetividade e encadeamento, citações segundo ABNT, formalidade e impessoalidade (terceira pessoa do singular</w:t>
            </w:r>
            <w:r w:rsidR="00763A6C">
              <w:rPr>
                <w:rFonts w:ascii="Times New Roman" w:hAnsi="Times New Roman"/>
                <w:sz w:val="20"/>
                <w:szCs w:val="20"/>
              </w:rPr>
              <w:t>, preferencialmente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).</w:t>
            </w:r>
          </w:p>
          <w:p w14:paraId="1B85BCBF" w14:textId="77777777" w:rsidR="00763A6C" w:rsidRPr="004D16FB" w:rsidRDefault="00763A6C" w:rsidP="00763A6C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</w:tr>
      <w:tr w:rsidR="00CE7996" w:rsidRPr="004D16FB" w14:paraId="38BBE034" w14:textId="77777777" w:rsidTr="00274821">
        <w:tc>
          <w:tcPr>
            <w:tcW w:w="637" w:type="dxa"/>
          </w:tcPr>
          <w:p w14:paraId="3668BE9F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8505" w:type="dxa"/>
          </w:tcPr>
          <w:p w14:paraId="6B65BACB" w14:textId="77777777" w:rsidR="00CE7996" w:rsidRPr="004D16FB" w:rsidRDefault="00CE7996" w:rsidP="00763A6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Revisão ortográfica: </w:t>
            </w:r>
            <w:r w:rsidR="00763A6C">
              <w:rPr>
                <w:rFonts w:ascii="Times New Roman" w:hAnsi="Times New Roman"/>
                <w:sz w:val="20"/>
                <w:szCs w:val="20"/>
              </w:rPr>
              <w:t>Verificar se o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s autores se </w:t>
            </w:r>
            <w:r w:rsidR="00763A6C" w:rsidRPr="004D16FB">
              <w:rPr>
                <w:rFonts w:ascii="Times New Roman" w:hAnsi="Times New Roman"/>
                <w:sz w:val="20"/>
                <w:szCs w:val="20"/>
              </w:rPr>
              <w:t>pr</w:t>
            </w:r>
            <w:r w:rsidR="00763A6C">
              <w:rPr>
                <w:rFonts w:ascii="Times New Roman" w:hAnsi="Times New Roman"/>
                <w:sz w:val="20"/>
                <w:szCs w:val="20"/>
              </w:rPr>
              <w:t>o</w:t>
            </w:r>
            <w:r w:rsidR="00763A6C" w:rsidRPr="004D16FB">
              <w:rPr>
                <w:rFonts w:ascii="Times New Roman" w:hAnsi="Times New Roman"/>
                <w:sz w:val="20"/>
                <w:szCs w:val="20"/>
              </w:rPr>
              <w:t>curar</w:t>
            </w:r>
            <w:r w:rsidR="00763A6C">
              <w:rPr>
                <w:rFonts w:ascii="Times New Roman" w:hAnsi="Times New Roman"/>
                <w:sz w:val="20"/>
                <w:szCs w:val="20"/>
              </w:rPr>
              <w:t>a</w:t>
            </w:r>
            <w:r w:rsidR="00763A6C" w:rsidRPr="004D16FB">
              <w:rPr>
                <w:rFonts w:ascii="Times New Roman" w:hAnsi="Times New Roman"/>
                <w:sz w:val="20"/>
                <w:szCs w:val="20"/>
              </w:rPr>
              <w:t>m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com a nova ortografia. </w:t>
            </w:r>
          </w:p>
        </w:tc>
      </w:tr>
      <w:tr w:rsidR="00CE7996" w:rsidRPr="004D16FB" w14:paraId="540609FF" w14:textId="77777777" w:rsidTr="00274821">
        <w:tc>
          <w:tcPr>
            <w:tcW w:w="637" w:type="dxa"/>
          </w:tcPr>
          <w:p w14:paraId="1A94F872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8505" w:type="dxa"/>
          </w:tcPr>
          <w:p w14:paraId="600BE0D0" w14:textId="77777777" w:rsidR="00CE7996" w:rsidRDefault="00CE7996" w:rsidP="00763A6C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>T</w:t>
            </w:r>
            <w:proofErr w:type="spellStart"/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ítulos</w:t>
            </w:r>
            <w:proofErr w:type="spellEnd"/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das </w:t>
            </w:r>
            <w:proofErr w:type="spellStart"/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se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>ç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ões</w:t>
            </w:r>
            <w:proofErr w:type="spellEnd"/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>: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63A6C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Verificar se foram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posicionados à esquerda, em </w:t>
            </w: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negrito</w:t>
            </w:r>
            <w:r w:rsidR="00763A6C">
              <w:rPr>
                <w:rFonts w:ascii="Times New Roman" w:hAnsi="Times New Roman"/>
                <w:b/>
                <w:sz w:val="20"/>
                <w:szCs w:val="20"/>
                <w:lang w:val="pt-BR"/>
              </w:rPr>
              <w:t xml:space="preserve"> e letra maiúscula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com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um espaço acima e um espaço abaixo do título de seção de primeiro nível</w:t>
            </w:r>
            <w:r w:rsidR="00763A6C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. Verificar se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os</w:t>
            </w:r>
            <w:r w:rsidR="00763A6C">
              <w:rPr>
                <w:rFonts w:ascii="Times New Roman" w:hAnsi="Times New Roman"/>
                <w:sz w:val="20"/>
                <w:szCs w:val="20"/>
              </w:rPr>
              <w:t xml:space="preserve"> títulos das subseções </w:t>
            </w:r>
            <w:r w:rsidR="00763A6C" w:rsidRPr="004D16FB">
              <w:rPr>
                <w:rFonts w:ascii="Times New Roman" w:hAnsi="Times New Roman"/>
                <w:sz w:val="20"/>
                <w:szCs w:val="20"/>
              </w:rPr>
              <w:t>aparecem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em </w:t>
            </w:r>
            <w:r w:rsidRPr="004D16FB">
              <w:rPr>
                <w:rFonts w:ascii="Times New Roman" w:hAnsi="Times New Roman"/>
                <w:i/>
                <w:sz w:val="20"/>
                <w:szCs w:val="20"/>
              </w:rPr>
              <w:t>itálico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sem negrito</w:t>
            </w:r>
            <w:r w:rsidR="00763A6C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e em letra minúscula (primeira maiúscula)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42BC7CA1" w14:textId="77777777" w:rsidR="00763A6C" w:rsidRPr="004D16FB" w:rsidRDefault="00763A6C" w:rsidP="00763A6C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CE7996" w:rsidRPr="004D16FB" w14:paraId="3F147E5B" w14:textId="77777777" w:rsidTr="00274821">
        <w:tc>
          <w:tcPr>
            <w:tcW w:w="637" w:type="dxa"/>
          </w:tcPr>
          <w:p w14:paraId="06BA6FDB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8505" w:type="dxa"/>
          </w:tcPr>
          <w:p w14:paraId="3961CD78" w14:textId="77777777" w:rsidR="00CE7996" w:rsidRDefault="00CE7996" w:rsidP="00763A6C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pt-BR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Introdução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: </w:t>
            </w:r>
            <w:r w:rsidR="00763A6C">
              <w:rPr>
                <w:rFonts w:ascii="Times New Roman" w:hAnsi="Times New Roman"/>
                <w:sz w:val="20"/>
                <w:szCs w:val="20"/>
                <w:lang w:val="pt-BR"/>
              </w:rPr>
              <w:t>Verificar se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traz dados sobre o tema com base nas pesquisas obtidas a partir de artigos científicos, literatura especializada e base de dados confiáveis. </w:t>
            </w:r>
            <w:r w:rsidR="00763A6C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Deve apresentar as citações dos autores que deram sustentação ao assunto pesquisado. Todos os autores citados devem aparecer no item “Referências”. As citações devem atender às normas da ABNT. </w:t>
            </w:r>
          </w:p>
          <w:p w14:paraId="7814552C" w14:textId="77777777" w:rsidR="00763A6C" w:rsidRPr="004D16FB" w:rsidRDefault="00763A6C" w:rsidP="00763A6C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CE7996" w:rsidRPr="004D16FB" w14:paraId="64279B58" w14:textId="77777777" w:rsidTr="00274821">
        <w:tc>
          <w:tcPr>
            <w:tcW w:w="637" w:type="dxa"/>
          </w:tcPr>
          <w:p w14:paraId="10404F30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8505" w:type="dxa"/>
          </w:tcPr>
          <w:p w14:paraId="0E2AAE05" w14:textId="77777777" w:rsidR="00CE7996" w:rsidRDefault="00CE7996" w:rsidP="00763A6C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pt-BR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Objetivos: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Os objetivos devem estar descritos no final da introdução de forma clara e precisa. </w:t>
            </w:r>
            <w:r w:rsidR="00763A6C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Não deve aparecer como item. </w:t>
            </w:r>
          </w:p>
          <w:p w14:paraId="1662B788" w14:textId="77777777" w:rsidR="00763A6C" w:rsidRPr="004D16FB" w:rsidRDefault="00763A6C" w:rsidP="00763A6C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</w:pPr>
          </w:p>
        </w:tc>
      </w:tr>
      <w:tr w:rsidR="00CE7996" w:rsidRPr="004D16FB" w14:paraId="5B3D8A09" w14:textId="77777777" w:rsidTr="00274821">
        <w:tc>
          <w:tcPr>
            <w:tcW w:w="637" w:type="dxa"/>
          </w:tcPr>
          <w:p w14:paraId="5E7F6EFC" w14:textId="77777777" w:rsidR="00CE7996" w:rsidRPr="004D16FB" w:rsidRDefault="00CE7996" w:rsidP="00CE799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8505" w:type="dxa"/>
          </w:tcPr>
          <w:p w14:paraId="59D1A897" w14:textId="77777777" w:rsidR="00CE7996" w:rsidRPr="004D16FB" w:rsidRDefault="00CE7996" w:rsidP="00763A6C">
            <w:pPr>
              <w:pStyle w:val="Corpodetexto2"/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>Citações: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as citações devem especificar a fonte (AUTOR, ano) ou autor (ANO); as citações e paráfrases deverão ser feitas de acordo com as regras da ABNT (e suas atualizações) e as citações literais, utilizar fonte nº 10, espaço simples com recuo.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As unidades deverão estar todas no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S</w:t>
            </w:r>
            <w:proofErr w:type="spellStart"/>
            <w:r w:rsidRPr="004D16FB">
              <w:rPr>
                <w:rFonts w:ascii="Times New Roman" w:hAnsi="Times New Roman"/>
                <w:sz w:val="20"/>
                <w:szCs w:val="20"/>
              </w:rPr>
              <w:t>istema</w:t>
            </w:r>
            <w:proofErr w:type="spellEnd"/>
            <w:r w:rsidRPr="004D16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I</w:t>
            </w:r>
            <w:proofErr w:type="spellStart"/>
            <w:r w:rsidRPr="004D16FB">
              <w:rPr>
                <w:rFonts w:ascii="Times New Roman" w:hAnsi="Times New Roman"/>
                <w:sz w:val="20"/>
                <w:szCs w:val="20"/>
              </w:rPr>
              <w:t>nternacional</w:t>
            </w:r>
            <w:proofErr w:type="spellEnd"/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de Unidades (disponível em: </w:t>
            </w:r>
            <w:hyperlink r:id="rId13" w:history="1">
              <w:r w:rsidRPr="004D16FB">
                <w:rPr>
                  <w:rStyle w:val="Hyperlink"/>
                  <w:rFonts w:ascii="Times New Roman" w:hAnsi="Times New Roman"/>
                  <w:sz w:val="20"/>
                  <w:szCs w:val="20"/>
                  <w:lang w:val="pt-BR"/>
                </w:rPr>
                <w:t>http://www.inmetro.gov.br/inovacao/publicacoes/sistema_internacional_de_unidades_suplemento_2014-2016-Jan.pdf</w:t>
              </w:r>
            </w:hyperlink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)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</w:tbl>
    <w:p w14:paraId="62E56BA9" w14:textId="77777777" w:rsidR="00763A6C" w:rsidRDefault="00763A6C" w:rsidP="00763A6C">
      <w:pPr>
        <w:rPr>
          <w:rFonts w:ascii="Times New Roman" w:hAnsi="Times New Roman"/>
          <w:sz w:val="24"/>
          <w:szCs w:val="24"/>
        </w:rPr>
      </w:pPr>
      <w:r w:rsidRPr="00CE7996">
        <w:rPr>
          <w:rFonts w:ascii="Times New Roman" w:hAnsi="Times New Roman"/>
          <w:sz w:val="20"/>
          <w:szCs w:val="20"/>
        </w:rPr>
        <w:t>Cont. Quadro 2</w:t>
      </w:r>
    </w:p>
    <w:p w14:paraId="16601DEB" w14:textId="77777777" w:rsidR="00763A6C" w:rsidRDefault="00763A6C" w:rsidP="00763A6C">
      <w:pPr>
        <w:rPr>
          <w:rFonts w:ascii="Times New Roman" w:hAnsi="Times New Roman"/>
          <w:sz w:val="24"/>
          <w:szCs w:val="24"/>
        </w:rPr>
      </w:pPr>
      <w:r w:rsidRPr="00CE7996">
        <w:rPr>
          <w:rFonts w:ascii="Times New Roman" w:hAnsi="Times New Roman"/>
          <w:sz w:val="20"/>
          <w:szCs w:val="20"/>
        </w:rPr>
        <w:lastRenderedPageBreak/>
        <w:t>Cont. Quadro 2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8505"/>
      </w:tblGrid>
      <w:tr w:rsidR="00F4323E" w:rsidRPr="004D16FB" w14:paraId="6B710926" w14:textId="77777777" w:rsidTr="00274821">
        <w:tc>
          <w:tcPr>
            <w:tcW w:w="637" w:type="dxa"/>
          </w:tcPr>
          <w:p w14:paraId="00688CF4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Itens</w:t>
            </w:r>
          </w:p>
        </w:tc>
        <w:tc>
          <w:tcPr>
            <w:tcW w:w="8505" w:type="dxa"/>
          </w:tcPr>
          <w:p w14:paraId="45F4122E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sz w:val="20"/>
                <w:szCs w:val="20"/>
              </w:rPr>
              <w:t>Critérios de avaliação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  <w:p w14:paraId="3F6A48A0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F4323E" w:rsidRPr="004D16FB" w14:paraId="394D02DA" w14:textId="77777777" w:rsidTr="00274821">
        <w:tc>
          <w:tcPr>
            <w:tcW w:w="637" w:type="dxa"/>
            <w:vMerge w:val="restart"/>
          </w:tcPr>
          <w:p w14:paraId="6A78EDA4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8505" w:type="dxa"/>
          </w:tcPr>
          <w:p w14:paraId="3C4189B7" w14:textId="77777777" w:rsidR="00F4323E" w:rsidRPr="004D16FB" w:rsidRDefault="00F4323E" w:rsidP="00F4323E">
            <w:pPr>
              <w:pStyle w:val="Corpodetexto2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Metodologia/Desenvolvimento. </w:t>
            </w:r>
            <w:r w:rsidRPr="004D16FB">
              <w:rPr>
                <w:rFonts w:ascii="Times New Roman" w:hAnsi="Times New Roman"/>
                <w:i/>
                <w:sz w:val="20"/>
                <w:szCs w:val="20"/>
                <w:lang w:val="pt-BR"/>
              </w:rPr>
              <w:t>Verificar o gênero do artigo para avaliar essa seção:</w:t>
            </w:r>
          </w:p>
        </w:tc>
      </w:tr>
      <w:tr w:rsidR="00F4323E" w:rsidRPr="004D16FB" w14:paraId="5D6D1D4A" w14:textId="77777777" w:rsidTr="00274821">
        <w:tc>
          <w:tcPr>
            <w:tcW w:w="637" w:type="dxa"/>
            <w:vMerge/>
          </w:tcPr>
          <w:p w14:paraId="5A734913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13C73C9D" w14:textId="77777777" w:rsidR="00F4323E" w:rsidRPr="004D16FB" w:rsidRDefault="00F4323E" w:rsidP="00F4323E">
            <w:pPr>
              <w:pStyle w:val="Corpodetexto2"/>
              <w:numPr>
                <w:ilvl w:val="0"/>
                <w:numId w:val="3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Metodologia para 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artigos relativos à divulgação de pesquisas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. </w:t>
            </w:r>
            <w:r w:rsidRPr="004D16FB">
              <w:rPr>
                <w:rFonts w:ascii="Times New Roman" w:hAnsi="Times New Roman"/>
                <w:i/>
                <w:sz w:val="20"/>
                <w:szCs w:val="20"/>
                <w:lang w:val="pt-BR"/>
              </w:rPr>
              <w:t>D</w:t>
            </w:r>
            <w:proofErr w:type="spellStart"/>
            <w:r w:rsidRPr="004D16FB">
              <w:rPr>
                <w:rFonts w:ascii="Times New Roman" w:hAnsi="Times New Roman"/>
                <w:sz w:val="20"/>
                <w:szCs w:val="20"/>
              </w:rPr>
              <w:t>eve</w:t>
            </w:r>
            <w:proofErr w:type="spellEnd"/>
            <w:r w:rsidRPr="004D16FB">
              <w:rPr>
                <w:rFonts w:ascii="Times New Roman" w:hAnsi="Times New Roman"/>
                <w:sz w:val="20"/>
                <w:szCs w:val="20"/>
              </w:rPr>
              <w:t xml:space="preserve"> contemplar uma seção e descrever o tipo de pesquisa abordada (bibliográfica, documental, de campo, exploratória, experimental, levantamento, qualitativa, quantitativa, participativa, dentre outras). Avaliar se a metodologia está suficientemente clara (apresentando os participantes, os instrumentos/materiais e os procedimentos) permitindo a reprodução do trabalho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.  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F4323E" w:rsidRPr="004D16FB" w14:paraId="42FCF1CD" w14:textId="77777777" w:rsidTr="00274821">
        <w:tc>
          <w:tcPr>
            <w:tcW w:w="637" w:type="dxa"/>
            <w:vMerge/>
          </w:tcPr>
          <w:p w14:paraId="3E0979F2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0C981F7F" w14:textId="77777777" w:rsidR="00F4323E" w:rsidRPr="004D16FB" w:rsidRDefault="00F4323E" w:rsidP="00F4323E">
            <w:pPr>
              <w:pStyle w:val="Corpodetexto2"/>
              <w:numPr>
                <w:ilvl w:val="0"/>
                <w:numId w:val="3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Desenvolvimento para 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artigos relativos à reflexão teórica, discussões teórico-práticas ou outros que não apresentem necessariamente uma metodologia convencional de pesquisa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  <w:lang w:val="pt-BR"/>
              </w:rPr>
              <w:t xml:space="preserve">. 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Contemplar o desenvolvimento d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as ideias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, as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reflexões sobre o tema, pautados em referenciais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bibliográficos ou outros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.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Considerar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a sequência de momentos sintetizados: fundamentos te</w:t>
            </w:r>
            <w:r w:rsidRPr="004D16FB">
              <w:rPr>
                <w:rFonts w:ascii="Times New Roman" w:hAnsi="Times New Roman"/>
                <w:sz w:val="20"/>
                <w:szCs w:val="20"/>
                <w:lang w:val="pt-BR"/>
              </w:rPr>
              <w:t>óricos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, reflexão crítica, construção lógica do trabalho.</w:t>
            </w:r>
          </w:p>
        </w:tc>
      </w:tr>
      <w:tr w:rsidR="00F4323E" w:rsidRPr="004D16FB" w14:paraId="08073B85" w14:textId="77777777" w:rsidTr="00274821">
        <w:tc>
          <w:tcPr>
            <w:tcW w:w="637" w:type="dxa"/>
            <w:vMerge/>
          </w:tcPr>
          <w:p w14:paraId="7CD514D1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05" w:type="dxa"/>
          </w:tcPr>
          <w:p w14:paraId="158CA3D8" w14:textId="77777777" w:rsidR="00F4323E" w:rsidRPr="004D16FB" w:rsidRDefault="00F4323E" w:rsidP="00F4323E">
            <w:pPr>
              <w:numPr>
                <w:ilvl w:val="0"/>
                <w:numId w:val="3"/>
              </w:num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Desenvolvimento para artigos relativos à Extensão universitária. </w:t>
            </w:r>
            <w:r w:rsidRPr="004D16FB">
              <w:rPr>
                <w:rFonts w:ascii="Times New Roman" w:hAnsi="Times New Roman"/>
                <w:i/>
                <w:sz w:val="20"/>
                <w:szCs w:val="20"/>
              </w:rPr>
              <w:t>Contemplar a descrição da ação extensionista, os recursos utilizados, os procedimentos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, </w:t>
            </w:r>
            <w:r w:rsidRPr="004D16FB">
              <w:rPr>
                <w:rFonts w:ascii="Times New Roman" w:hAnsi="Times New Roman"/>
                <w:i/>
                <w:sz w:val="20"/>
                <w:szCs w:val="20"/>
              </w:rPr>
              <w:t>os participantes beneficiários (da comunidade e da academia)</w:t>
            </w: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,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os mecanismos de transferência do conhecimento e </w:t>
            </w:r>
            <w:r w:rsidRPr="004D16FB">
              <w:rPr>
                <w:rFonts w:ascii="Times New Roman" w:hAnsi="Times New Roman"/>
                <w:i/>
                <w:sz w:val="20"/>
                <w:szCs w:val="20"/>
              </w:rPr>
              <w:t>os impactos da ação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4F764A25" w14:textId="77777777" w:rsidR="00F4323E" w:rsidRPr="004D16FB" w:rsidRDefault="00F4323E" w:rsidP="00F4323E">
            <w:pPr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4323E" w:rsidRPr="004D16FB" w14:paraId="488CB02C" w14:textId="77777777" w:rsidTr="00274821">
        <w:tc>
          <w:tcPr>
            <w:tcW w:w="637" w:type="dxa"/>
          </w:tcPr>
          <w:p w14:paraId="18831B23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8505" w:type="dxa"/>
          </w:tcPr>
          <w:p w14:paraId="78B4BB91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Aspectos éticos: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No caso de entrevistas, questionários, estudo de caso, verificar se foi enviado documento suplementar de aprovação do Comitê de Ética em Pesquisa ou o número CAAE, bem como, há documentos suplementares contendo direito ao uso de imagem no caso da publicação de fotos de pessoas.</w:t>
            </w:r>
          </w:p>
        </w:tc>
      </w:tr>
      <w:tr w:rsidR="00F4323E" w:rsidRPr="004D16FB" w14:paraId="683781A9" w14:textId="77777777" w:rsidTr="00274821">
        <w:tc>
          <w:tcPr>
            <w:tcW w:w="637" w:type="dxa"/>
          </w:tcPr>
          <w:p w14:paraId="584F639F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8505" w:type="dxa"/>
          </w:tcPr>
          <w:p w14:paraId="78ADAA38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Resultados e Discussão:</w:t>
            </w:r>
            <w:r w:rsidRPr="004D16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devem ser apresentados em ordem cronológica, de forma descritiva, em figuras, tabelas, quadros ou em gráficos, seguindo normas da ABNT (e suas atualizações), os mesmos devem ser inseridos o mais próximo possível do trecho do texto a que se refere, conforme projeto gráfico do artigo.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Lembrar que gráfico devem receber a denominação de figura.</w:t>
            </w:r>
          </w:p>
          <w:p w14:paraId="39680FEB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F4323E" w:rsidRPr="004D16FB" w14:paraId="5C3C5E3D" w14:textId="77777777" w:rsidTr="00274821">
        <w:tc>
          <w:tcPr>
            <w:tcW w:w="637" w:type="dxa"/>
          </w:tcPr>
          <w:p w14:paraId="347621B0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8505" w:type="dxa"/>
          </w:tcPr>
          <w:p w14:paraId="32F728FE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color w:val="000000"/>
                <w:sz w:val="20"/>
                <w:szCs w:val="20"/>
              </w:rPr>
              <w:t>Figuras, gráficos e tabelas:</w:t>
            </w:r>
            <w:r w:rsidRPr="004D16F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Verificar se as tabelas, gráficos, quadros e figuras estão referenciados no texto e seguem uma ordem cronológica de apresentação. Não se deve utilizar letra de tamanho maior que o texto. A identificação da fonte da qual foram extraídos os dados utilizados na construção das tabelas, figuras, quadros deve vir ao final da tabela, precedido da palavra "Fonte". A fonte das legendas deve ser tamanho 10.</w:t>
            </w:r>
          </w:p>
          <w:p w14:paraId="4EEC59C3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4323E" w:rsidRPr="004D16FB" w14:paraId="0747AE55" w14:textId="77777777" w:rsidTr="00274821">
        <w:tc>
          <w:tcPr>
            <w:tcW w:w="637" w:type="dxa"/>
          </w:tcPr>
          <w:p w14:paraId="12F8202E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8505" w:type="dxa"/>
          </w:tcPr>
          <w:p w14:paraId="53F74C44" w14:textId="77777777" w:rsidR="00F4323E" w:rsidRPr="004D16FB" w:rsidRDefault="00F4323E" w:rsidP="00F432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>Conclusão e/ou Considerações Finais: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C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orrespondem à descrição resumida do que foi atingido e confirmado pelos pesquisadores, estes devem indicar as implicações práticas e teóricas dos resultados alcançados, elaborar comentários a respeito das conclusões. As conclusões, assim como os resumos, não comportam citações. Verificar se as conclusões/considerações finais apresentam: </w:t>
            </w:r>
          </w:p>
          <w:p w14:paraId="5135B873" w14:textId="77777777" w:rsidR="00F4323E" w:rsidRPr="004D16FB" w:rsidRDefault="00F4323E" w:rsidP="00F4323E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uma síntese das principais ideias discutidas;</w:t>
            </w:r>
          </w:p>
          <w:p w14:paraId="14F1F543" w14:textId="77777777" w:rsidR="00F4323E" w:rsidRPr="004D16FB" w:rsidRDefault="00F4323E" w:rsidP="00F4323E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retomada do (s) objetivo (s) e verificação se o (s) mesmo (s) foram </w:t>
            </w:r>
            <w:proofErr w:type="gramStart"/>
            <w:r w:rsidRPr="004D16FB">
              <w:rPr>
                <w:rFonts w:ascii="Times New Roman" w:hAnsi="Times New Roman"/>
                <w:sz w:val="20"/>
                <w:szCs w:val="20"/>
              </w:rPr>
              <w:t>atingido</w:t>
            </w:r>
            <w:proofErr w:type="gramEnd"/>
            <w:r w:rsidRPr="004D16FB">
              <w:rPr>
                <w:rFonts w:ascii="Times New Roman" w:hAnsi="Times New Roman"/>
                <w:sz w:val="20"/>
                <w:szCs w:val="20"/>
              </w:rPr>
              <w:t>(s);</w:t>
            </w:r>
          </w:p>
          <w:p w14:paraId="215ACAE2" w14:textId="77777777" w:rsidR="00F4323E" w:rsidRPr="004D16FB" w:rsidRDefault="00F4323E" w:rsidP="00F4323E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interpretação pessoal e correlação com dados fornecidos por outros estudos mencionados no trabalho; </w:t>
            </w:r>
          </w:p>
          <w:p w14:paraId="3325F4C7" w14:textId="77777777" w:rsidR="00F4323E" w:rsidRPr="004D16FB" w:rsidRDefault="00F4323E" w:rsidP="00F4323E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indicações das contribuições trazidas para a </w:t>
            </w:r>
            <w:proofErr w:type="gramStart"/>
            <w:r w:rsidRPr="004D16FB">
              <w:rPr>
                <w:rFonts w:ascii="Times New Roman" w:hAnsi="Times New Roman"/>
                <w:sz w:val="20"/>
                <w:szCs w:val="20"/>
              </w:rPr>
              <w:t>área  do</w:t>
            </w:r>
            <w:proofErr w:type="gramEnd"/>
            <w:r w:rsidRPr="004D16FB">
              <w:rPr>
                <w:rFonts w:ascii="Times New Roman" w:hAnsi="Times New Roman"/>
                <w:sz w:val="20"/>
                <w:szCs w:val="20"/>
              </w:rPr>
              <w:t xml:space="preserve"> conhecimento;</w:t>
            </w:r>
          </w:p>
          <w:p w14:paraId="522C445E" w14:textId="77777777" w:rsidR="00F4323E" w:rsidRPr="004D16FB" w:rsidRDefault="00F4323E" w:rsidP="00F4323E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56" w:hanging="28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 xml:space="preserve"> menção as limitações do estudo e sugerem novos estudos.</w:t>
            </w:r>
          </w:p>
        </w:tc>
      </w:tr>
      <w:tr w:rsidR="00F4323E" w:rsidRPr="004D16FB" w14:paraId="3F5B5386" w14:textId="77777777" w:rsidTr="00274821">
        <w:tc>
          <w:tcPr>
            <w:tcW w:w="637" w:type="dxa"/>
          </w:tcPr>
          <w:p w14:paraId="63F7A0BC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8505" w:type="dxa"/>
          </w:tcPr>
          <w:p w14:paraId="2DDE2C6E" w14:textId="77777777" w:rsidR="00F4323E" w:rsidRPr="004D16FB" w:rsidRDefault="00F4323E" w:rsidP="00F4323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Agradecimentos: 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 xml:space="preserve">Item opcional, mas se presente, este deve ser conciso, impessoal, apresentado de forma objetiva sem sentimentalismo, direcionado ao órgão de fomento ou instituição que subsidiou ou permitiu a pesquisa. </w:t>
            </w:r>
          </w:p>
        </w:tc>
      </w:tr>
      <w:tr w:rsidR="00F4323E" w:rsidRPr="004D16FB" w14:paraId="3EB03145" w14:textId="77777777" w:rsidTr="00274821">
        <w:tc>
          <w:tcPr>
            <w:tcW w:w="637" w:type="dxa"/>
          </w:tcPr>
          <w:p w14:paraId="2DA0142C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8505" w:type="dxa"/>
          </w:tcPr>
          <w:p w14:paraId="7132A350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D16FB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Referência: </w:t>
            </w:r>
            <w:r w:rsidRPr="008E4719">
              <w:rPr>
                <w:rFonts w:ascii="Times New Roman" w:hAnsi="Times New Roman"/>
                <w:bCs/>
                <w:iCs/>
                <w:sz w:val="20"/>
                <w:szCs w:val="20"/>
              </w:rPr>
              <w:t>D</w:t>
            </w:r>
            <w:r w:rsidRPr="004D16FB">
              <w:rPr>
                <w:rFonts w:ascii="Times New Roman" w:hAnsi="Times New Roman"/>
                <w:sz w:val="20"/>
                <w:szCs w:val="20"/>
              </w:rPr>
              <w:t>evem ser atuais, diversificadas e de reconhecimento científico e seguir as normas da ABNT.</w:t>
            </w:r>
          </w:p>
        </w:tc>
      </w:tr>
      <w:tr w:rsidR="00F4323E" w:rsidRPr="004D16FB" w14:paraId="66D942B5" w14:textId="77777777" w:rsidTr="00274821">
        <w:tc>
          <w:tcPr>
            <w:tcW w:w="637" w:type="dxa"/>
          </w:tcPr>
          <w:p w14:paraId="085EEBA0" w14:textId="77777777" w:rsidR="00F4323E" w:rsidRPr="004D16FB" w:rsidRDefault="00F4323E" w:rsidP="00F432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8505" w:type="dxa"/>
          </w:tcPr>
          <w:p w14:paraId="3C821E82" w14:textId="77777777" w:rsidR="00F4323E" w:rsidRPr="004D16FB" w:rsidRDefault="00F4323E" w:rsidP="00F4323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</w:rPr>
              <w:t xml:space="preserve">Plagio: </w:t>
            </w: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Verificar o grau de autenticidade do manuscrito antes da submissão. </w:t>
            </w:r>
          </w:p>
        </w:tc>
      </w:tr>
    </w:tbl>
    <w:p w14:paraId="37E0FFA8" w14:textId="77777777" w:rsidR="004D16FB" w:rsidRPr="00F4323E" w:rsidRDefault="00F4323E" w:rsidP="00F4323E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  <w:lang w:eastAsia="pt-BR"/>
        </w:rPr>
        <w:t>*</w:t>
      </w:r>
      <w:r w:rsidRPr="00F4323E">
        <w:rPr>
          <w:rFonts w:ascii="Times New Roman" w:eastAsia="Times New Roman" w:hAnsi="Times New Roman"/>
          <w:sz w:val="20"/>
          <w:szCs w:val="20"/>
          <w:lang w:eastAsia="pt-BR"/>
        </w:rPr>
        <w:t>Todos os itens que contemplam o manuscrito (dentro da área ao qual o mesmo se encaixa) devem ser atendid</w:t>
      </w:r>
      <w:r w:rsidR="004048B2">
        <w:rPr>
          <w:rFonts w:ascii="Times New Roman" w:eastAsia="Times New Roman" w:hAnsi="Times New Roman"/>
          <w:sz w:val="20"/>
          <w:szCs w:val="20"/>
          <w:lang w:eastAsia="pt-BR"/>
        </w:rPr>
        <w:t>o</w:t>
      </w:r>
      <w:r w:rsidRPr="00F4323E">
        <w:rPr>
          <w:rFonts w:ascii="Times New Roman" w:eastAsia="Times New Roman" w:hAnsi="Times New Roman"/>
          <w:sz w:val="20"/>
          <w:szCs w:val="20"/>
          <w:lang w:eastAsia="pt-BR"/>
        </w:rPr>
        <w:t>s</w:t>
      </w:r>
      <w:r w:rsidR="004048B2">
        <w:rPr>
          <w:rFonts w:ascii="Times New Roman" w:eastAsia="Times New Roman" w:hAnsi="Times New Roman"/>
          <w:sz w:val="20"/>
          <w:szCs w:val="20"/>
          <w:lang w:eastAsia="pt-BR"/>
        </w:rPr>
        <w:t>.</w:t>
      </w:r>
    </w:p>
    <w:p w14:paraId="4DBCAB12" w14:textId="77777777" w:rsidR="004D16FB" w:rsidRPr="008D46DF" w:rsidRDefault="008D46DF" w:rsidP="008D46DF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 w:rsidRPr="008D46DF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9FB9F9D" w14:textId="77777777" w:rsidR="004D16FB" w:rsidRPr="004D16FB" w:rsidRDefault="008D46DF" w:rsidP="001D05B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Quadro 2 é um exemplo de como é possível quebrar quadros e tabelas quando a dimensão dos mesmos é maior que 01 lauda.  Os autores podem utilizar este exemplo para apresentar os resultados de pesquisa.</w:t>
      </w:r>
    </w:p>
    <w:p w14:paraId="25272E37" w14:textId="77777777" w:rsidR="001D05B7" w:rsidRDefault="001D05B7" w:rsidP="001D05B7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lastRenderedPageBreak/>
        <w:t>(1 espaço)</w:t>
      </w:r>
    </w:p>
    <w:p w14:paraId="6B24C833" w14:textId="77777777" w:rsidR="005D1AC9" w:rsidRPr="00A5081A" w:rsidRDefault="00A5081A" w:rsidP="005D1AC9">
      <w:pPr>
        <w:pStyle w:val="Ttulo3"/>
        <w:spacing w:line="240" w:lineRule="auto"/>
        <w:jc w:val="both"/>
        <w:rPr>
          <w:lang w:val="pt-BR"/>
        </w:rPr>
      </w:pPr>
      <w:r w:rsidRPr="007B117A">
        <w:t>CONCLUS</w:t>
      </w:r>
      <w:r>
        <w:rPr>
          <w:lang w:val="pt-BR"/>
        </w:rPr>
        <w:t>ÃO</w:t>
      </w:r>
    </w:p>
    <w:p w14:paraId="7D212CA8" w14:textId="77777777" w:rsidR="005D1AC9" w:rsidRPr="007B117A" w:rsidRDefault="005D1AC9" w:rsidP="005D1A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7CBB2B07" w14:textId="77777777" w:rsidR="00684772" w:rsidRPr="00B0188C" w:rsidRDefault="00B0188C" w:rsidP="0072007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B0188C">
        <w:rPr>
          <w:rFonts w:ascii="Times New Roman" w:hAnsi="Times New Roman"/>
          <w:sz w:val="24"/>
          <w:szCs w:val="24"/>
        </w:rPr>
        <w:t>A Conclus</w:t>
      </w:r>
      <w:r w:rsidR="00A5081A">
        <w:rPr>
          <w:rFonts w:ascii="Times New Roman" w:hAnsi="Times New Roman"/>
          <w:sz w:val="24"/>
          <w:szCs w:val="24"/>
        </w:rPr>
        <w:t>ão</w:t>
      </w:r>
      <w:r w:rsidRPr="00B0188C">
        <w:rPr>
          <w:rFonts w:ascii="Times New Roman" w:hAnsi="Times New Roman"/>
          <w:sz w:val="24"/>
          <w:szCs w:val="24"/>
        </w:rPr>
        <w:t xml:space="preserve"> e/ou Considerações Finais correspondem à descrição resumida do que foi atingido e confirmado pel</w:t>
      </w:r>
      <w:r w:rsidR="006C6F12">
        <w:rPr>
          <w:rFonts w:ascii="Times New Roman" w:hAnsi="Times New Roman"/>
          <w:sz w:val="24"/>
          <w:szCs w:val="24"/>
        </w:rPr>
        <w:t>os pesquisadores, estes devem</w:t>
      </w:r>
      <w:r w:rsidRPr="00B0188C">
        <w:rPr>
          <w:rFonts w:ascii="Times New Roman" w:hAnsi="Times New Roman"/>
          <w:sz w:val="24"/>
          <w:szCs w:val="24"/>
        </w:rPr>
        <w:t xml:space="preserve"> indicar as implicações práticas e teóricas dos resultados alcançados, elaborar comentários a respeito das conclusões da pesquisa. As conclusões</w:t>
      </w:r>
      <w:r w:rsidR="006C6F12">
        <w:rPr>
          <w:rFonts w:ascii="Times New Roman" w:hAnsi="Times New Roman"/>
          <w:sz w:val="24"/>
          <w:szCs w:val="24"/>
        </w:rPr>
        <w:t xml:space="preserve">, assim como resumos, </w:t>
      </w:r>
      <w:r w:rsidRPr="00B0188C">
        <w:rPr>
          <w:rFonts w:ascii="Times New Roman" w:hAnsi="Times New Roman"/>
          <w:sz w:val="24"/>
          <w:szCs w:val="24"/>
        </w:rPr>
        <w:t xml:space="preserve">não comportam citações. Importante ressaltar que o trabalho deve ser cuidadosamente revisado </w:t>
      </w:r>
      <w:r w:rsidR="006C6F12">
        <w:rPr>
          <w:rFonts w:ascii="Times New Roman" w:hAnsi="Times New Roman"/>
          <w:sz w:val="24"/>
          <w:szCs w:val="24"/>
        </w:rPr>
        <w:t>antes da submissão à revista</w:t>
      </w:r>
      <w:r w:rsidRPr="00B0188C">
        <w:rPr>
          <w:rFonts w:ascii="Times New Roman" w:hAnsi="Times New Roman"/>
          <w:sz w:val="24"/>
          <w:szCs w:val="24"/>
        </w:rPr>
        <w:t xml:space="preserve">. </w:t>
      </w:r>
    </w:p>
    <w:p w14:paraId="336EB171" w14:textId="77777777" w:rsidR="005D1AC9" w:rsidRDefault="005D1AC9" w:rsidP="005D1AC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 xml:space="preserve"> (1 espaço)</w:t>
      </w:r>
    </w:p>
    <w:p w14:paraId="389A064E" w14:textId="77777777" w:rsidR="006C6F12" w:rsidRPr="00DF7ED9" w:rsidRDefault="00A5081A" w:rsidP="005D1AC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highlight w:val="lightGray"/>
        </w:rPr>
      </w:pPr>
      <w:r w:rsidRPr="00DF7ED9">
        <w:rPr>
          <w:rFonts w:ascii="Times New Roman" w:hAnsi="Times New Roman"/>
          <w:b/>
          <w:sz w:val="24"/>
          <w:szCs w:val="24"/>
          <w:highlight w:val="lightGray"/>
        </w:rPr>
        <w:t>AGRADECIMENTOS</w:t>
      </w:r>
    </w:p>
    <w:p w14:paraId="07F0B867" w14:textId="77777777" w:rsidR="00171F2A" w:rsidRPr="00B0188C" w:rsidRDefault="006C6F12" w:rsidP="006C6F12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F7ED9">
        <w:rPr>
          <w:rFonts w:ascii="Times New Roman" w:hAnsi="Times New Roman"/>
          <w:sz w:val="24"/>
          <w:szCs w:val="24"/>
          <w:highlight w:val="lightGray"/>
        </w:rPr>
        <w:t xml:space="preserve">Opcionalmente um item denominado </w:t>
      </w:r>
      <w:r w:rsidRPr="00DF7ED9">
        <w:rPr>
          <w:rFonts w:ascii="Times New Roman" w:hAnsi="Times New Roman"/>
          <w:b/>
          <w:sz w:val="24"/>
          <w:szCs w:val="24"/>
          <w:highlight w:val="lightGray"/>
        </w:rPr>
        <w:t>Agradecimentos</w:t>
      </w:r>
      <w:r w:rsidRPr="00DF7ED9">
        <w:rPr>
          <w:rFonts w:ascii="Times New Roman" w:hAnsi="Times New Roman"/>
          <w:sz w:val="24"/>
          <w:szCs w:val="24"/>
          <w:highlight w:val="lightGray"/>
        </w:rPr>
        <w:t xml:space="preserve"> pode ser incluído entre as conclusões e referências.</w:t>
      </w:r>
      <w:r w:rsidR="00171F2A" w:rsidRPr="00DF7ED9">
        <w:rPr>
          <w:rFonts w:ascii="Times New Roman" w:hAnsi="Times New Roman"/>
          <w:sz w:val="24"/>
          <w:szCs w:val="24"/>
          <w:highlight w:val="lightGray"/>
        </w:rPr>
        <w:t xml:space="preserve"> Embora o item seja opcional, se presente, este deve ser conciso, impessoal, apresentado de forma objetiva sem </w:t>
      </w:r>
      <w:r w:rsidR="003F3AAA" w:rsidRPr="00DF7ED9">
        <w:rPr>
          <w:rFonts w:ascii="Times New Roman" w:hAnsi="Times New Roman"/>
          <w:sz w:val="24"/>
          <w:szCs w:val="24"/>
          <w:highlight w:val="lightGray"/>
        </w:rPr>
        <w:t>SENTIMENTALISMO</w:t>
      </w:r>
      <w:r w:rsidR="00171F2A" w:rsidRPr="00DF7ED9">
        <w:rPr>
          <w:rFonts w:ascii="Times New Roman" w:hAnsi="Times New Roman"/>
          <w:sz w:val="24"/>
          <w:szCs w:val="24"/>
          <w:highlight w:val="lightGray"/>
        </w:rPr>
        <w:t>, direcionado exclusivamente ao órgão de fomento ou instituição que subsidiou ou permitiu a pesquisa. Evitar agradecimentos como acontecem em Trabalhos de Conclusão de Curso, Dissertações ou Teses.</w:t>
      </w:r>
      <w:r w:rsidR="00171F2A">
        <w:rPr>
          <w:rFonts w:ascii="Times New Roman" w:hAnsi="Times New Roman"/>
          <w:sz w:val="24"/>
          <w:szCs w:val="24"/>
        </w:rPr>
        <w:t xml:space="preserve"> </w:t>
      </w:r>
    </w:p>
    <w:p w14:paraId="38DF07A2" w14:textId="77777777" w:rsidR="006C6F12" w:rsidRPr="007B117A" w:rsidRDefault="006C6F12" w:rsidP="005D1A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5F349EE0" w14:textId="77777777" w:rsidR="005D1AC9" w:rsidRPr="007B117A" w:rsidRDefault="00A5081A" w:rsidP="005D1AC9">
      <w:pPr>
        <w:pStyle w:val="Ttulo3"/>
        <w:spacing w:line="240" w:lineRule="auto"/>
        <w:jc w:val="both"/>
      </w:pPr>
      <w:commentRangeStart w:id="18"/>
      <w:r w:rsidRPr="007B117A">
        <w:t>REFERÊNCIAS</w:t>
      </w:r>
      <w:commentRangeEnd w:id="18"/>
      <w:r w:rsidR="00DA442E">
        <w:rPr>
          <w:rStyle w:val="Refdecomentrio"/>
          <w:rFonts w:ascii="Calibri" w:eastAsia="Calibri" w:hAnsi="Calibri"/>
          <w:b w:val="0"/>
          <w:bCs w:val="0"/>
          <w:lang w:val="pt-BR" w:eastAsia="en-US"/>
        </w:rPr>
        <w:commentReference w:id="18"/>
      </w:r>
      <w:r w:rsidRPr="007B117A">
        <w:t xml:space="preserve"> </w:t>
      </w:r>
    </w:p>
    <w:p w14:paraId="00BFED17" w14:textId="3D532A52" w:rsidR="005D1AC9" w:rsidRDefault="005D1AC9" w:rsidP="005D1AC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7B117A">
        <w:rPr>
          <w:rFonts w:ascii="Times New Roman" w:hAnsi="Times New Roman"/>
          <w:color w:val="FF0000"/>
          <w:sz w:val="24"/>
          <w:szCs w:val="24"/>
        </w:rPr>
        <w:t>(1 espaço)</w:t>
      </w:r>
    </w:p>
    <w:p w14:paraId="013EC0DF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DF7ED9">
        <w:rPr>
          <w:rFonts w:ascii="Times New Roman" w:hAnsi="Times New Roman"/>
          <w:sz w:val="24"/>
          <w:szCs w:val="24"/>
        </w:rPr>
        <w:t>1.</w:t>
      </w:r>
      <w:r w:rsidRPr="00DF7ED9">
        <w:rPr>
          <w:rFonts w:ascii="Times New Roman" w:hAnsi="Times New Roman"/>
          <w:sz w:val="24"/>
          <w:szCs w:val="24"/>
        </w:rPr>
        <w:tab/>
        <w:t xml:space="preserve">Braido, F., et al., The role </w:t>
      </w:r>
      <w:proofErr w:type="spellStart"/>
      <w:r w:rsidRPr="00DF7ED9">
        <w:rPr>
          <w:rFonts w:ascii="Times New Roman" w:hAnsi="Times New Roman"/>
          <w:sz w:val="24"/>
          <w:szCs w:val="24"/>
        </w:rPr>
        <w:t>of</w:t>
      </w:r>
      <w:proofErr w:type="spellEnd"/>
      <w:r w:rsidRPr="00DF7E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7ED9">
        <w:rPr>
          <w:rFonts w:ascii="Times New Roman" w:hAnsi="Times New Roman"/>
          <w:sz w:val="24"/>
          <w:szCs w:val="24"/>
        </w:rPr>
        <w:t>Pneumococcal</w:t>
      </w:r>
      <w:proofErr w:type="spellEnd"/>
      <w:r w:rsidRPr="00DF7E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7ED9">
        <w:rPr>
          <w:rFonts w:ascii="Times New Roman" w:hAnsi="Times New Roman"/>
          <w:sz w:val="24"/>
          <w:szCs w:val="24"/>
        </w:rPr>
        <w:t>vaccine</w:t>
      </w:r>
      <w:proofErr w:type="spellEnd"/>
      <w:r w:rsidRPr="00DF7ED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Pulm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Pharmacol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Ther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2008. 21(4): p. 608-15.</w:t>
      </w:r>
    </w:p>
    <w:p w14:paraId="5F79D7AB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Kadioglu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A., et al., The role of Streptococcus pneumoniae virulence factors in host respiratory colonization and disease. Nat Rev Microbiol, 2008. 6(4): p. 288-301.</w:t>
      </w:r>
    </w:p>
    <w:p w14:paraId="60539EDA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WHO. Pneumococcal disease. 2015 2016]; Available from: http://www.who.int/biologicals/vaccines/pneumococcal/en/.</w:t>
      </w:r>
    </w:p>
    <w:p w14:paraId="0301ED70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4.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Walker, C.L., et al., Global burden of childhood pneumonia and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diarrhoea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. Lancet, 2013. 381(9875): p. 1405-16.</w:t>
      </w:r>
    </w:p>
    <w:p w14:paraId="7BFE85CD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5.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K.L. O'Brien, L.J. Wolfson, J.P. Watt, E.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Henkle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M. Deloria-Knoll, N. McCall, et al., Burden of disease caused by Streptococcus pneumoniae in children younger than 5 years: global estimates, Lancet 374 (2009) 893–902.</w:t>
      </w:r>
    </w:p>
    <w:p w14:paraId="6E5FF871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</w:rPr>
        <w:t>6.</w:t>
      </w:r>
      <w:r w:rsidRPr="00365CBF">
        <w:rPr>
          <w:rFonts w:ascii="Times New Roman" w:hAnsi="Times New Roman"/>
          <w:sz w:val="24"/>
          <w:szCs w:val="24"/>
        </w:rPr>
        <w:tab/>
        <w:t xml:space="preserve">Braido, F., </w:t>
      </w:r>
      <w:proofErr w:type="spellStart"/>
      <w:r w:rsidRPr="00365CBF">
        <w:rPr>
          <w:rFonts w:ascii="Times New Roman" w:hAnsi="Times New Roman"/>
          <w:sz w:val="24"/>
          <w:szCs w:val="24"/>
        </w:rPr>
        <w:t>Bellotti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, M., De Maria, A., </w:t>
      </w:r>
      <w:proofErr w:type="spellStart"/>
      <w:r w:rsidRPr="00365CBF">
        <w:rPr>
          <w:rFonts w:ascii="Times New Roman" w:hAnsi="Times New Roman"/>
          <w:sz w:val="24"/>
          <w:szCs w:val="24"/>
        </w:rPr>
        <w:t>Cazzola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, M., </w:t>
      </w:r>
      <w:proofErr w:type="spellStart"/>
      <w:r w:rsidRPr="00365CBF">
        <w:rPr>
          <w:rFonts w:ascii="Times New Roman" w:hAnsi="Times New Roman"/>
          <w:sz w:val="24"/>
          <w:szCs w:val="24"/>
        </w:rPr>
        <w:t>and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Canonica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, G. W. (2008). </w:t>
      </w:r>
      <w:r w:rsidRPr="00365CBF">
        <w:rPr>
          <w:rFonts w:ascii="Times New Roman" w:hAnsi="Times New Roman"/>
          <w:sz w:val="24"/>
          <w:szCs w:val="24"/>
          <w:lang w:val="en-US"/>
        </w:rPr>
        <w:t xml:space="preserve">The role of Pneumococcal vaccine.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Pulm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Pharmacol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Ther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. 21, 608–615. </w:t>
      </w:r>
    </w:p>
    <w:p w14:paraId="72CAF844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7.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Croney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C. M.,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Nahm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M. H.,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Juhn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S. K.,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Briles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D. E., and Crain, M. J. (2013). Invasive and noninvasive Streptococcus pneumoniae capsule and surface protein diversity following the use of a conjugate vaccine. Clin. Vaccine Immunol. 20, 1711–1718.</w:t>
      </w:r>
    </w:p>
    <w:p w14:paraId="6FA33439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8.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Barocchi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M.A., S.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Censini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and R.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Rappuoli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Vaccines in the era of genomics: the pneumococcal challenge. Vaccine, 2007. 25(16): p. 2963-73.</w:t>
      </w:r>
    </w:p>
    <w:p w14:paraId="631761B8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9.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Malley, R., Antibody and cell-mediated immunity to Streptococcus pneumoniae: implications for vaccine development. J Mol Med (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Berl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), 2010. 88(2): p. 135-42.</w:t>
      </w:r>
    </w:p>
    <w:p w14:paraId="130CC928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10.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Bridy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-Pappas AE, Margolis MB, Center KJ,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Isaacman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DJ. Streptococcus pneumoniae: description of the pathogen, disease epidemiology, treatment, and prevention. </w:t>
      </w:r>
      <w:r w:rsidRPr="00365CBF">
        <w:rPr>
          <w:rFonts w:ascii="Times New Roman" w:hAnsi="Times New Roman"/>
          <w:sz w:val="24"/>
          <w:szCs w:val="24"/>
        </w:rPr>
        <w:t xml:space="preserve">J Hum </w:t>
      </w:r>
      <w:proofErr w:type="spellStart"/>
      <w:r w:rsidRPr="00365CBF">
        <w:rPr>
          <w:rFonts w:ascii="Times New Roman" w:hAnsi="Times New Roman"/>
          <w:sz w:val="24"/>
          <w:szCs w:val="24"/>
        </w:rPr>
        <w:t>Pharmacol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Drug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Ther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(2005) 25(9):1193–212.10.1592/phco.2005.25.9.1193 Disponível </w:t>
      </w:r>
      <w:proofErr w:type="gramStart"/>
      <w:r w:rsidRPr="00365CBF">
        <w:rPr>
          <w:rFonts w:ascii="Times New Roman" w:hAnsi="Times New Roman"/>
          <w:sz w:val="24"/>
          <w:szCs w:val="24"/>
        </w:rPr>
        <w:t>em :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&lt; https://www.ncbi.nlm.nih.gov/pmc/articles/PMC6023974/&gt;</w:t>
      </w:r>
    </w:p>
    <w:p w14:paraId="6C8DB9ED" w14:textId="77777777" w:rsidR="00365CBF" w:rsidRPr="00DF7ED9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11.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Geno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KA, Gilbert GL, Song JY, </w:t>
      </w:r>
      <w:proofErr w:type="spellStart"/>
      <w:r w:rsidRPr="00365CBF">
        <w:rPr>
          <w:rFonts w:ascii="Times New Roman" w:hAnsi="Times New Roman"/>
          <w:sz w:val="24"/>
          <w:szCs w:val="24"/>
        </w:rPr>
        <w:t>Skovsted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IC, </w:t>
      </w:r>
      <w:proofErr w:type="spellStart"/>
      <w:r w:rsidRPr="00365CBF">
        <w:rPr>
          <w:rFonts w:ascii="Times New Roman" w:hAnsi="Times New Roman"/>
          <w:sz w:val="24"/>
          <w:szCs w:val="24"/>
        </w:rPr>
        <w:t>Klugman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KP, Jones C, et al. </w:t>
      </w:r>
      <w:r w:rsidRPr="00365CBF">
        <w:rPr>
          <w:rFonts w:ascii="Times New Roman" w:hAnsi="Times New Roman"/>
          <w:sz w:val="24"/>
          <w:szCs w:val="24"/>
          <w:lang w:val="en-US"/>
        </w:rPr>
        <w:t xml:space="preserve">Pneumococcal capsules and their types: past, present, and future. </w:t>
      </w:r>
      <w:proofErr w:type="spellStart"/>
      <w:r w:rsidRPr="00DF7ED9">
        <w:rPr>
          <w:rFonts w:ascii="Times New Roman" w:hAnsi="Times New Roman"/>
          <w:sz w:val="24"/>
          <w:szCs w:val="24"/>
        </w:rPr>
        <w:t>Clin</w:t>
      </w:r>
      <w:proofErr w:type="spellEnd"/>
      <w:r w:rsidRPr="00DF7E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7ED9">
        <w:rPr>
          <w:rFonts w:ascii="Times New Roman" w:hAnsi="Times New Roman"/>
          <w:sz w:val="24"/>
          <w:szCs w:val="24"/>
        </w:rPr>
        <w:t>Microbiol</w:t>
      </w:r>
      <w:proofErr w:type="spellEnd"/>
      <w:r w:rsidRPr="00DF7ED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F7ED9">
        <w:rPr>
          <w:rFonts w:ascii="Times New Roman" w:hAnsi="Times New Roman"/>
          <w:sz w:val="24"/>
          <w:szCs w:val="24"/>
        </w:rPr>
        <w:t>Rev</w:t>
      </w:r>
      <w:proofErr w:type="spellEnd"/>
      <w:r w:rsidRPr="00DF7ED9">
        <w:rPr>
          <w:rFonts w:ascii="Times New Roman" w:hAnsi="Times New Roman"/>
          <w:sz w:val="24"/>
          <w:szCs w:val="24"/>
        </w:rPr>
        <w:t xml:space="preserve"> (2015) 28(3):871–99.10.1128/CMR.00024-15 Disponível </w:t>
      </w:r>
      <w:proofErr w:type="gramStart"/>
      <w:r w:rsidRPr="00DF7ED9">
        <w:rPr>
          <w:rFonts w:ascii="Times New Roman" w:hAnsi="Times New Roman"/>
          <w:sz w:val="24"/>
          <w:szCs w:val="24"/>
        </w:rPr>
        <w:t>em :</w:t>
      </w:r>
      <w:proofErr w:type="gramEnd"/>
      <w:r w:rsidRPr="00DF7ED9">
        <w:rPr>
          <w:rFonts w:ascii="Times New Roman" w:hAnsi="Times New Roman"/>
          <w:sz w:val="24"/>
          <w:szCs w:val="24"/>
        </w:rPr>
        <w:t xml:space="preserve"> &lt; https://www.ncbi.nlm.nih.gov/pmc/articles/PMC6023974/&gt;</w:t>
      </w:r>
    </w:p>
    <w:p w14:paraId="1422B45C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lastRenderedPageBreak/>
        <w:t>12.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Keller LE, Robinson DA, McDaniel LS.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Nonencapsulated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Streptococcus pneumoniae: emergence and pathogenesis. </w:t>
      </w:r>
      <w:proofErr w:type="spellStart"/>
      <w:r w:rsidRPr="00365CBF">
        <w:rPr>
          <w:rFonts w:ascii="Times New Roman" w:hAnsi="Times New Roman"/>
          <w:sz w:val="24"/>
          <w:szCs w:val="24"/>
        </w:rPr>
        <w:t>MBio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(2016) 7(2):e1792.10.1128/mBio.01792-15 Disponível </w:t>
      </w:r>
      <w:proofErr w:type="gramStart"/>
      <w:r w:rsidRPr="00365CBF">
        <w:rPr>
          <w:rFonts w:ascii="Times New Roman" w:hAnsi="Times New Roman"/>
          <w:sz w:val="24"/>
          <w:szCs w:val="24"/>
        </w:rPr>
        <w:t>em :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&lt; https://www.ncbi.nlm.nih.gov/pmc/articles/PMC6023974/&gt;</w:t>
      </w:r>
    </w:p>
    <w:p w14:paraId="126DD942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13.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Bogaert, D., et al., Pneumococcal vaccines: an update on current strategies. Vaccine, 2004. 22(17-18): p. 2209-20.</w:t>
      </w:r>
    </w:p>
    <w:p w14:paraId="1B34766C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14.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Denoel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P., et al., A protein-based pneumococcal vaccine protects rhesus macaques from pneumonia after experimental infection with Streptococcus pneumoniae. Vaccine, 2011. 29(33): p. 5495-501. 11. </w:t>
      </w:r>
    </w:p>
    <w:p w14:paraId="46AFBE9D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15.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Vesikari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T., et al., Immunogenicity of the 10-valent pneumococcal non-typeable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Haemophilus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influenzae protein D conjugate vaccine (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PHiD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-CV) compared to the licensed 7vCRM vaccine.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Pediatr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Infect Dis J, 2009. 28(4 Suppl): p. S66-76.</w:t>
      </w:r>
    </w:p>
    <w:p w14:paraId="5F305B69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16.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Darrieux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M. (2016) Contribution of the complement system to protection elicited by pneumococcal vaccines including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phtD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365CBF">
        <w:rPr>
          <w:rFonts w:ascii="Times New Roman" w:hAnsi="Times New Roman"/>
          <w:sz w:val="24"/>
          <w:szCs w:val="24"/>
          <w:lang w:val="en-US"/>
        </w:rPr>
        <w:t>PspA,PspC</w:t>
      </w:r>
      <w:proofErr w:type="spellEnd"/>
      <w:proofErr w:type="gramEnd"/>
      <w:r w:rsidRPr="00365CBF">
        <w:rPr>
          <w:rFonts w:ascii="Times New Roman" w:hAnsi="Times New Roman"/>
          <w:sz w:val="24"/>
          <w:szCs w:val="24"/>
          <w:lang w:val="en-US"/>
        </w:rPr>
        <w:t xml:space="preserve"> and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Pneumolysin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.</w:t>
      </w:r>
    </w:p>
    <w:p w14:paraId="5D2FA4D5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07D3697B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17.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Ritchie, G. E., Moffatt, B. E., Sim, R. B., Morgan, B. P.,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Dwek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R. A., and Rudd, P. M. (2002). Glycosylation and the complement system. Chem. Rev. 102, 305–320–319</w:t>
      </w:r>
    </w:p>
    <w:p w14:paraId="54824EF3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18.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Dunkelberger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J. R., and Song, W. C. (2010). Complement and its role in innate and adaptive immune responses. Cell Res. 20, 34–50.</w:t>
      </w:r>
    </w:p>
    <w:p w14:paraId="261BB41E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19.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Brown, J. S.,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Hussell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T., Gilliland, S. M., Holden, D. W., Paton, J. C., Ehrenstein, M. R., et al. (2002). The classical pathway is the dominant complement pathway required for innate immunity to Streptococcus pneumoniae infection in mice. Proc. Natl. Acad. Sci. U.S.A. 99, 16969–16974.</w:t>
      </w:r>
    </w:p>
    <w:p w14:paraId="0FD9B5B3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20.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Kang, Y. S., Do, Y., Lee, H. K., Park, S. H., Cheong, C., Lynch, R. M., et al. (2006). A dominant complement fixation pathway for pneumococcal polysaccharides initiated by SIGN-R1 interacting with C1q. Cell 125, 47–58. </w:t>
      </w:r>
    </w:p>
    <w:p w14:paraId="2E1C3C7D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21.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Ehrnthaller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C., Ignatius, A.,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Gebhard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F., and Huber-Lang, M. (2011). New insights of an old defense system: structure, function, and clinical relevance of the complement system. Mol. Med. 17, 317–329.</w:t>
      </w:r>
    </w:p>
    <w:p w14:paraId="0C49648D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22.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Merle, N. S., Noe, R.,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Halbwachs-Mecarelli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L.,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Fremeaux-Bacchi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V., and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Roumenina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L. T. (2015b). Complement system part II: role in immunity. Front. Immunol. 6:257.</w:t>
      </w:r>
    </w:p>
    <w:p w14:paraId="76A3203A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23.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Esser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A. F. (1994). The membrane attack complex of complement. Assembly, structure and cytotoxic activity. Toxicology 87, 229–247.</w:t>
      </w:r>
    </w:p>
    <w:p w14:paraId="6B185B50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24.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Brown, E. J., Hosea, S. W., and Frank, M. M. (1983). The role of antibody and complement in the reticuloendothelial clearance of pneumococci from the bloodstream. Rev. Infect. Dis. 5(Suppl. 4), S797–S805.</w:t>
      </w:r>
    </w:p>
    <w:p w14:paraId="2073EAD9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25.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Jarva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H.,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Jokiranta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T. S.,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Wurzner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R., and Meri, S. (2003). </w:t>
      </w:r>
      <w:proofErr w:type="spellStart"/>
      <w:r w:rsidRPr="00365CBF">
        <w:rPr>
          <w:rFonts w:ascii="Times New Roman" w:hAnsi="Times New Roman"/>
          <w:sz w:val="24"/>
          <w:szCs w:val="24"/>
        </w:rPr>
        <w:t>Complement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resistance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mechanisms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of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streptococci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. Mol. </w:t>
      </w:r>
      <w:proofErr w:type="spellStart"/>
      <w:r w:rsidRPr="00365CBF">
        <w:rPr>
          <w:rFonts w:ascii="Times New Roman" w:hAnsi="Times New Roman"/>
          <w:sz w:val="24"/>
          <w:szCs w:val="24"/>
        </w:rPr>
        <w:t>Immunol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. 40, 95–107. </w:t>
      </w:r>
    </w:p>
    <w:p w14:paraId="1A055822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</w:rPr>
        <w:t>26.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Standish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AJ, </w:t>
      </w:r>
      <w:proofErr w:type="spellStart"/>
      <w:r w:rsidRPr="00365CBF">
        <w:rPr>
          <w:rFonts w:ascii="Times New Roman" w:hAnsi="Times New Roman"/>
          <w:sz w:val="24"/>
          <w:szCs w:val="24"/>
        </w:rPr>
        <w:t>Weiser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J. Os neutrófilos humanos matam o Streptococcus </w:t>
      </w:r>
      <w:proofErr w:type="spell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via serina proteases. </w:t>
      </w:r>
      <w:r w:rsidRPr="00365CBF">
        <w:rPr>
          <w:rFonts w:ascii="Times New Roman" w:hAnsi="Times New Roman"/>
          <w:sz w:val="24"/>
          <w:szCs w:val="24"/>
          <w:lang w:val="en-US"/>
        </w:rPr>
        <w:t xml:space="preserve">J Immunol. (2009) </w:t>
      </w:r>
      <w:proofErr w:type="gramStart"/>
      <w:r w:rsidRPr="00365CBF">
        <w:rPr>
          <w:rFonts w:ascii="Times New Roman" w:hAnsi="Times New Roman"/>
          <w:sz w:val="24"/>
          <w:szCs w:val="24"/>
          <w:lang w:val="en-US"/>
        </w:rPr>
        <w:t>183 :</w:t>
      </w:r>
      <w:proofErr w:type="gramEnd"/>
      <w:r w:rsidRPr="00365CBF">
        <w:rPr>
          <w:rFonts w:ascii="Times New Roman" w:hAnsi="Times New Roman"/>
          <w:sz w:val="24"/>
          <w:szCs w:val="24"/>
          <w:lang w:val="en-US"/>
        </w:rPr>
        <w:t xml:space="preserve"> 2602-2609.</w:t>
      </w:r>
    </w:p>
    <w:p w14:paraId="5A12C6E6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27.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Rupprecht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T. A., Angele, B., Klein, M.,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Heesemann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J., Pfister, H. W.,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Botto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M., et al. (2007). Complement C1q and C3 are critical for the innate immune response to Streptococcus pneumoniae in the central nervous system. J. Immunol. 178, 1861–1869.</w:t>
      </w:r>
    </w:p>
    <w:p w14:paraId="1D654863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28.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Hyams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C.,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Camberlein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E., Cohen, J. M.,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Bax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K., and Brown, J. S. (2010a). The Streptococcus pneumoniae capsule inhibits complement activity and neutrophil phagocytosis by multiple mechanisms. Infect. Immun. 78, 704–715.</w:t>
      </w:r>
    </w:p>
    <w:p w14:paraId="5196C7D8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lastRenderedPageBreak/>
        <w:t>29.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S.K. Hollingshead, R. Becker, D.E.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Briles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Diversity of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PspA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: mosaic genes and evidence for past recombination in Streptococcus pneumoniae, Infect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68 (2000) 5889–5900.</w:t>
      </w:r>
    </w:p>
    <w:p w14:paraId="207D870E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30.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M.J.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Jedrzejas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E.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Lamani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R.S. Becker, Characterization of selected strains of pneumococcal surface protein A, J Biol Chem 276 (2001) 33121–33128.</w:t>
      </w:r>
    </w:p>
    <w:p w14:paraId="0AB2F8E9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31.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Ren, B., et al., The virulence function of Streptococcus pneumoniae surface protein A involves inhibition of complement activation and impairment of complement receptor-mediated protection. J Immunol, 2004. 173(12): p. 7506-12.</w:t>
      </w:r>
    </w:p>
    <w:p w14:paraId="0F03A770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32.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Tu, A.H., et al., Pneumococcal surface protein A inhibits complement activation by Streptococcus pneumoniae. Infect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1999. 67(9): p. 4720-4.</w:t>
      </w:r>
    </w:p>
    <w:p w14:paraId="1A3B2E49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33.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Mukerji, R., et al., Pneumococcal surface protein A inhibits complement deposition on the pneumococcal surface by competing with the binding of C-reactive protein to cell-surface phosphocholine. J Immunol, 2012. 189(11): p. 5327-35.</w:t>
      </w:r>
    </w:p>
    <w:p w14:paraId="6B6B5BA4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34.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Tai, S.S., Streptococcus pneumoniae protein vaccine candidates: properties, activities and animal studies.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Crit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Rev Microbiol, 2006. 32(3): p. 139-53.</w:t>
      </w:r>
    </w:p>
    <w:p w14:paraId="10A79A77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35.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Price, K.E. and A.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Camilli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Pneumolysin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localizes to the cell wall of Streptococcus pneumoniae. J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Bacteriol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2009. 191(7): p. 2163-8.</w:t>
      </w:r>
    </w:p>
    <w:p w14:paraId="08DD92B0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36.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Price, K.E. and A.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Camilli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Pneumolysin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localizes to the cell wall of Streptococcus pneumoniae. J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Bacteriol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2009. 191(7): p. 2163-8.</w:t>
      </w:r>
    </w:p>
    <w:p w14:paraId="37511A0B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37.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Malley </w:t>
      </w:r>
      <w:proofErr w:type="gramStart"/>
      <w:r w:rsidRPr="00365CBF">
        <w:rPr>
          <w:rFonts w:ascii="Times New Roman" w:hAnsi="Times New Roman"/>
          <w:sz w:val="24"/>
          <w:szCs w:val="24"/>
          <w:lang w:val="en-US"/>
        </w:rPr>
        <w:t>R ,</w:t>
      </w:r>
      <w:proofErr w:type="gramEnd"/>
      <w:r w:rsidRPr="00365CB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Henneke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P , Morse SC , Cieslewicz MJ 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Lipsitch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M , Thompson CM , Kurt-Jones E , Paton JC , Wessels MR 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Golenbock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DT, Recognition of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pneumolysin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by Toll-like receptor 4 confers resistance to pneumococcal infection. Proc Natl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Acad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Sci U S A. 2003 Feb 18;100(4): 1966-71.</w:t>
      </w:r>
    </w:p>
    <w:p w14:paraId="3D60E300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38.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Berry, A.M., et al., Effect of defined point mutations in the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pneumolysin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gene on the virulence of Streptococcus pneumoniae. Infect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1995. 63(5): p. 1969-74.</w:t>
      </w:r>
    </w:p>
    <w:p w14:paraId="48F14A05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39.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Goulart, C., et al., Characterization of protective immune responses induced by pneumococcal surface protein A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in fusion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with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pneumolysin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derivatives.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PLoS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One, 2013. 8(3): p. e59605.</w:t>
      </w:r>
    </w:p>
    <w:p w14:paraId="6BB1858B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40.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Adamou, J.E., et al., Identification and characterization of a novel family of pneumococcal proteins that are protective against sepsis. Infect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>, 2001. 69(2): p. 949-58.</w:t>
      </w:r>
    </w:p>
    <w:p w14:paraId="145D1CA3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41.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Rioux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S., et al., Transcriptional regulation, occurrence and putative role of the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Pht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family of Streptococcus pneumoniae. Microbiology, 2011. 157(Pt 2): p. 336-48.</w:t>
      </w:r>
    </w:p>
    <w:p w14:paraId="5320457F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42.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Rioux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S.,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Neyt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C., Di Paolo E., Turpin L.,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Charland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N., Labbe S., Mortier MC, Mitchell TJ, Ferry C., Martin D., et al. </w:t>
      </w:r>
      <w:r w:rsidRPr="00365CBF">
        <w:rPr>
          <w:rFonts w:ascii="Times New Roman" w:hAnsi="Times New Roman"/>
          <w:sz w:val="24"/>
          <w:szCs w:val="24"/>
        </w:rPr>
        <w:t xml:space="preserve">Regulação transcricional, ocorrência e suposto papel da família </w:t>
      </w:r>
      <w:proofErr w:type="spellStart"/>
      <w:r w:rsidRPr="00365CBF">
        <w:rPr>
          <w:rFonts w:ascii="Times New Roman" w:hAnsi="Times New Roman"/>
          <w:sz w:val="24"/>
          <w:szCs w:val="24"/>
        </w:rPr>
        <w:t>Pht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de Streptococcus </w:t>
      </w:r>
      <w:proofErr w:type="spellStart"/>
      <w:proofErr w:type="gram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Microbiologia. 2011; </w:t>
      </w:r>
      <w:proofErr w:type="gramStart"/>
      <w:r w:rsidRPr="00365CBF">
        <w:rPr>
          <w:rFonts w:ascii="Times New Roman" w:hAnsi="Times New Roman"/>
          <w:sz w:val="24"/>
          <w:szCs w:val="24"/>
        </w:rPr>
        <w:t>157 :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335–348.</w:t>
      </w:r>
    </w:p>
    <w:p w14:paraId="18170064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43.</w:t>
      </w:r>
      <w:r w:rsidRPr="00365CBF">
        <w:rPr>
          <w:rFonts w:ascii="Times New Roman" w:hAnsi="Times New Roman"/>
          <w:sz w:val="24"/>
          <w:szCs w:val="24"/>
        </w:rPr>
        <w:tab/>
        <w:t xml:space="preserve">Zhang Y., Masi AW, </w:t>
      </w:r>
      <w:proofErr w:type="spellStart"/>
      <w:r w:rsidRPr="00365CBF">
        <w:rPr>
          <w:rFonts w:ascii="Times New Roman" w:hAnsi="Times New Roman"/>
          <w:sz w:val="24"/>
          <w:szCs w:val="24"/>
        </w:rPr>
        <w:t>Barniak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V., </w:t>
      </w:r>
      <w:proofErr w:type="spellStart"/>
      <w:r w:rsidRPr="00365CBF">
        <w:rPr>
          <w:rFonts w:ascii="Times New Roman" w:hAnsi="Times New Roman"/>
          <w:sz w:val="24"/>
          <w:szCs w:val="24"/>
        </w:rPr>
        <w:t>Mountzouros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K., </w:t>
      </w:r>
      <w:proofErr w:type="spellStart"/>
      <w:r w:rsidRPr="00365CBF">
        <w:rPr>
          <w:rFonts w:ascii="Times New Roman" w:hAnsi="Times New Roman"/>
          <w:sz w:val="24"/>
          <w:szCs w:val="24"/>
        </w:rPr>
        <w:t>Hostetter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MK, proteína verde BA recombinante </w:t>
      </w:r>
      <w:proofErr w:type="spellStart"/>
      <w:r w:rsidRPr="00365CBF">
        <w:rPr>
          <w:rFonts w:ascii="Times New Roman" w:hAnsi="Times New Roman"/>
          <w:sz w:val="24"/>
          <w:szCs w:val="24"/>
        </w:rPr>
        <w:t>PhpA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, uma proteína única contendo histidina do Streptococcus </w:t>
      </w:r>
      <w:proofErr w:type="spellStart"/>
      <w:proofErr w:type="gram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que protege os camundongos contra o desafio pneumocócico </w:t>
      </w:r>
      <w:proofErr w:type="spellStart"/>
      <w:r w:rsidRPr="00365CBF">
        <w:rPr>
          <w:rFonts w:ascii="Times New Roman" w:hAnsi="Times New Roman"/>
          <w:sz w:val="24"/>
          <w:szCs w:val="24"/>
        </w:rPr>
        <w:t>intranasal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. Infectar. </w:t>
      </w:r>
      <w:proofErr w:type="spellStart"/>
      <w:r w:rsidRPr="00365CBF">
        <w:rPr>
          <w:rFonts w:ascii="Times New Roman" w:hAnsi="Times New Roman"/>
          <w:sz w:val="24"/>
          <w:szCs w:val="24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. 2001; </w:t>
      </w:r>
      <w:proofErr w:type="gramStart"/>
      <w:r w:rsidRPr="00365CBF">
        <w:rPr>
          <w:rFonts w:ascii="Times New Roman" w:hAnsi="Times New Roman"/>
          <w:sz w:val="24"/>
          <w:szCs w:val="24"/>
        </w:rPr>
        <w:t>69 :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3827-3836.</w:t>
      </w:r>
    </w:p>
    <w:p w14:paraId="4576BB58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44.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Kallio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A., </w:t>
      </w:r>
      <w:proofErr w:type="spellStart"/>
      <w:r w:rsidRPr="00365CBF">
        <w:rPr>
          <w:rFonts w:ascii="Times New Roman" w:hAnsi="Times New Roman"/>
          <w:sz w:val="24"/>
          <w:szCs w:val="24"/>
        </w:rPr>
        <w:t>Sepponen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K., </w:t>
      </w:r>
      <w:proofErr w:type="spellStart"/>
      <w:r w:rsidRPr="00365CBF">
        <w:rPr>
          <w:rFonts w:ascii="Times New Roman" w:hAnsi="Times New Roman"/>
          <w:sz w:val="24"/>
          <w:szCs w:val="24"/>
        </w:rPr>
        <w:t>Hermand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P., </w:t>
      </w:r>
      <w:proofErr w:type="spellStart"/>
      <w:r w:rsidRPr="00365CBF">
        <w:rPr>
          <w:rFonts w:ascii="Times New Roman" w:hAnsi="Times New Roman"/>
          <w:sz w:val="24"/>
          <w:szCs w:val="24"/>
        </w:rPr>
        <w:t>Denoël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P., </w:t>
      </w:r>
      <w:proofErr w:type="spellStart"/>
      <w:r w:rsidRPr="00365CBF">
        <w:rPr>
          <w:rFonts w:ascii="Times New Roman" w:hAnsi="Times New Roman"/>
          <w:sz w:val="24"/>
          <w:szCs w:val="24"/>
        </w:rPr>
        <w:t>Godfroid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F., </w:t>
      </w:r>
      <w:proofErr w:type="spellStart"/>
      <w:r w:rsidRPr="00365CBF">
        <w:rPr>
          <w:rFonts w:ascii="Times New Roman" w:hAnsi="Times New Roman"/>
          <w:sz w:val="24"/>
          <w:szCs w:val="24"/>
        </w:rPr>
        <w:t>Melin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M. Papel das proteínas </w:t>
      </w:r>
      <w:proofErr w:type="spellStart"/>
      <w:r w:rsidRPr="00365CBF">
        <w:rPr>
          <w:rFonts w:ascii="Times New Roman" w:hAnsi="Times New Roman"/>
          <w:sz w:val="24"/>
          <w:szCs w:val="24"/>
        </w:rPr>
        <w:t>Pht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na fixação de Streptococcus </w:t>
      </w:r>
      <w:proofErr w:type="spell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às células epiteliais respiratórias. Infectar. </w:t>
      </w:r>
      <w:proofErr w:type="spellStart"/>
      <w:r w:rsidRPr="00365CBF">
        <w:rPr>
          <w:rFonts w:ascii="Times New Roman" w:hAnsi="Times New Roman"/>
          <w:sz w:val="24"/>
          <w:szCs w:val="24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. 2014; </w:t>
      </w:r>
      <w:proofErr w:type="gramStart"/>
      <w:r w:rsidRPr="00365CBF">
        <w:rPr>
          <w:rFonts w:ascii="Times New Roman" w:hAnsi="Times New Roman"/>
          <w:sz w:val="24"/>
          <w:szCs w:val="24"/>
        </w:rPr>
        <w:t>82 :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1683-1691</w:t>
      </w:r>
    </w:p>
    <w:p w14:paraId="76FDEF97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45.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Godfroid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F., </w:t>
      </w:r>
      <w:proofErr w:type="spellStart"/>
      <w:r w:rsidRPr="00365CBF">
        <w:rPr>
          <w:rFonts w:ascii="Times New Roman" w:hAnsi="Times New Roman"/>
          <w:sz w:val="24"/>
          <w:szCs w:val="24"/>
        </w:rPr>
        <w:t>Hermand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P., </w:t>
      </w:r>
      <w:proofErr w:type="spellStart"/>
      <w:r w:rsidRPr="00365CBF">
        <w:rPr>
          <w:rFonts w:ascii="Times New Roman" w:hAnsi="Times New Roman"/>
          <w:sz w:val="24"/>
          <w:szCs w:val="24"/>
        </w:rPr>
        <w:t>Verlant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V., </w:t>
      </w:r>
      <w:proofErr w:type="spellStart"/>
      <w:r w:rsidRPr="00365CBF">
        <w:rPr>
          <w:rFonts w:ascii="Times New Roman" w:hAnsi="Times New Roman"/>
          <w:sz w:val="24"/>
          <w:szCs w:val="24"/>
        </w:rPr>
        <w:t>Denoël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P., </w:t>
      </w:r>
      <w:proofErr w:type="spellStart"/>
      <w:r w:rsidRPr="00365CBF">
        <w:rPr>
          <w:rFonts w:ascii="Times New Roman" w:hAnsi="Times New Roman"/>
          <w:sz w:val="24"/>
          <w:szCs w:val="24"/>
        </w:rPr>
        <w:t>Poolman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JT Avaliação pré-clínica das proteínas </w:t>
      </w:r>
      <w:proofErr w:type="spellStart"/>
      <w:r w:rsidRPr="00365CBF">
        <w:rPr>
          <w:rFonts w:ascii="Times New Roman" w:hAnsi="Times New Roman"/>
          <w:sz w:val="24"/>
          <w:szCs w:val="24"/>
        </w:rPr>
        <w:t>Pht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como potenciais antígenos de vacina pneumocócica de proteção cruzada. Infectar. </w:t>
      </w:r>
      <w:proofErr w:type="spellStart"/>
      <w:r w:rsidRPr="00365CBF">
        <w:rPr>
          <w:rFonts w:ascii="Times New Roman" w:hAnsi="Times New Roman"/>
          <w:sz w:val="24"/>
          <w:szCs w:val="24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. 2011; </w:t>
      </w:r>
      <w:proofErr w:type="gramStart"/>
      <w:r w:rsidRPr="00365CBF">
        <w:rPr>
          <w:rFonts w:ascii="Times New Roman" w:hAnsi="Times New Roman"/>
          <w:sz w:val="24"/>
          <w:szCs w:val="24"/>
        </w:rPr>
        <w:t>79 :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238-245.</w:t>
      </w:r>
    </w:p>
    <w:p w14:paraId="06DD5EC8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46.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Plumptre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CD, </w:t>
      </w:r>
      <w:proofErr w:type="spellStart"/>
      <w:r w:rsidRPr="00365CBF">
        <w:rPr>
          <w:rFonts w:ascii="Times New Roman" w:hAnsi="Times New Roman"/>
          <w:sz w:val="24"/>
          <w:szCs w:val="24"/>
        </w:rPr>
        <w:t>Ogunniyi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AD, Vacinação </w:t>
      </w:r>
      <w:proofErr w:type="spellStart"/>
      <w:r w:rsidRPr="00365CBF">
        <w:rPr>
          <w:rFonts w:ascii="Times New Roman" w:hAnsi="Times New Roman"/>
          <w:sz w:val="24"/>
          <w:szCs w:val="24"/>
        </w:rPr>
        <w:t>Paton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JC contra Streptococcus </w:t>
      </w:r>
      <w:proofErr w:type="spell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utilizando derivados truncados da proteína da tríade </w:t>
      </w:r>
      <w:proofErr w:type="spellStart"/>
      <w:r w:rsidRPr="00365CBF">
        <w:rPr>
          <w:rFonts w:ascii="Times New Roman" w:hAnsi="Times New Roman"/>
          <w:sz w:val="24"/>
          <w:szCs w:val="24"/>
        </w:rPr>
        <w:t>polistididina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D. </w:t>
      </w:r>
      <w:proofErr w:type="spellStart"/>
      <w:r w:rsidRPr="00365CBF">
        <w:rPr>
          <w:rFonts w:ascii="Times New Roman" w:hAnsi="Times New Roman"/>
          <w:sz w:val="24"/>
          <w:szCs w:val="24"/>
        </w:rPr>
        <w:t>PLoS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ONE. 2013; 8</w:t>
      </w:r>
    </w:p>
    <w:p w14:paraId="7589D9EC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lastRenderedPageBreak/>
        <w:t>47.</w:t>
      </w:r>
      <w:r w:rsidRPr="00365CBF">
        <w:rPr>
          <w:rFonts w:ascii="Times New Roman" w:hAnsi="Times New Roman"/>
          <w:sz w:val="24"/>
          <w:szCs w:val="24"/>
        </w:rPr>
        <w:tab/>
        <w:t xml:space="preserve">Di Martino ML et al. </w:t>
      </w:r>
      <w:proofErr w:type="spellStart"/>
      <w:r w:rsidRPr="00365CBF">
        <w:rPr>
          <w:rFonts w:ascii="Times New Roman" w:hAnsi="Times New Roman"/>
          <w:sz w:val="24"/>
          <w:szCs w:val="24"/>
        </w:rPr>
        <w:t>Poliaminas</w:t>
      </w:r>
      <w:proofErr w:type="spellEnd"/>
      <w:r w:rsidRPr="00365CBF">
        <w:rPr>
          <w:rFonts w:ascii="Times New Roman" w:hAnsi="Times New Roman"/>
          <w:sz w:val="24"/>
          <w:szCs w:val="24"/>
        </w:rPr>
        <w:t>: atores emergentes nas interações bactérias-</w:t>
      </w:r>
      <w:proofErr w:type="gramStart"/>
      <w:r w:rsidRPr="00365CBF">
        <w:rPr>
          <w:rFonts w:ascii="Times New Roman" w:hAnsi="Times New Roman"/>
          <w:sz w:val="24"/>
          <w:szCs w:val="24"/>
        </w:rPr>
        <w:t>hospedeiro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Int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J </w:t>
      </w:r>
      <w:proofErr w:type="spellStart"/>
      <w:r w:rsidRPr="00365CBF">
        <w:rPr>
          <w:rFonts w:ascii="Times New Roman" w:hAnsi="Times New Roman"/>
          <w:sz w:val="24"/>
          <w:szCs w:val="24"/>
        </w:rPr>
        <w:t>Med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Microbiol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65CBF">
        <w:rPr>
          <w:rFonts w:ascii="Times New Roman" w:hAnsi="Times New Roman"/>
          <w:sz w:val="24"/>
          <w:szCs w:val="24"/>
        </w:rPr>
        <w:t>303 ,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484–491, 10.1016 / j.ijmm.2013.06.008 (2013)</w:t>
      </w:r>
    </w:p>
    <w:p w14:paraId="447A2693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48.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Shah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 &amp; </w:t>
      </w:r>
      <w:proofErr w:type="spellStart"/>
      <w:r w:rsidRPr="00365CBF">
        <w:rPr>
          <w:rFonts w:ascii="Times New Roman" w:hAnsi="Times New Roman"/>
          <w:sz w:val="24"/>
          <w:szCs w:val="24"/>
        </w:rPr>
        <w:t>Swiatlo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E. Um papel multifacetado para </w:t>
      </w:r>
      <w:proofErr w:type="spellStart"/>
      <w:r w:rsidRPr="00365CBF">
        <w:rPr>
          <w:rFonts w:ascii="Times New Roman" w:hAnsi="Times New Roman"/>
          <w:sz w:val="24"/>
          <w:szCs w:val="24"/>
        </w:rPr>
        <w:t>poliaminas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em patógenos </w:t>
      </w:r>
      <w:proofErr w:type="gramStart"/>
      <w:r w:rsidRPr="00365CBF">
        <w:rPr>
          <w:rFonts w:ascii="Times New Roman" w:hAnsi="Times New Roman"/>
          <w:sz w:val="24"/>
          <w:szCs w:val="24"/>
        </w:rPr>
        <w:t>bacterianos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Molecular </w:t>
      </w:r>
      <w:proofErr w:type="spellStart"/>
      <w:r w:rsidRPr="00365CBF">
        <w:rPr>
          <w:rFonts w:ascii="Times New Roman" w:hAnsi="Times New Roman"/>
          <w:sz w:val="24"/>
          <w:szCs w:val="24"/>
        </w:rPr>
        <w:t>microbiology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65CBF">
        <w:rPr>
          <w:rFonts w:ascii="Times New Roman" w:hAnsi="Times New Roman"/>
          <w:sz w:val="24"/>
          <w:szCs w:val="24"/>
        </w:rPr>
        <w:t>68 ,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4-16 (2008).</w:t>
      </w:r>
    </w:p>
    <w:p w14:paraId="1D26A85A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49.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hah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P., </w:t>
      </w:r>
      <w:proofErr w:type="spellStart"/>
      <w:r w:rsidRPr="00365CBF">
        <w:rPr>
          <w:rFonts w:ascii="Times New Roman" w:hAnsi="Times New Roman"/>
          <w:sz w:val="24"/>
          <w:szCs w:val="24"/>
        </w:rPr>
        <w:t>Nanduri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B., </w:t>
      </w:r>
      <w:proofErr w:type="spellStart"/>
      <w:r w:rsidRPr="00365CBF">
        <w:rPr>
          <w:rFonts w:ascii="Times New Roman" w:hAnsi="Times New Roman"/>
          <w:sz w:val="24"/>
          <w:szCs w:val="24"/>
        </w:rPr>
        <w:t>Swiatlo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E., </w:t>
      </w:r>
      <w:proofErr w:type="spellStart"/>
      <w:r w:rsidRPr="00365CBF">
        <w:rPr>
          <w:rFonts w:ascii="Times New Roman" w:hAnsi="Times New Roman"/>
          <w:sz w:val="24"/>
          <w:szCs w:val="24"/>
        </w:rPr>
        <w:t>Ma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Y. &amp; </w:t>
      </w:r>
      <w:proofErr w:type="spellStart"/>
      <w:r w:rsidRPr="00365CBF">
        <w:rPr>
          <w:rFonts w:ascii="Times New Roman" w:hAnsi="Times New Roman"/>
          <w:sz w:val="24"/>
          <w:szCs w:val="24"/>
        </w:rPr>
        <w:t>Pendarvis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K. A biossíntese de </w:t>
      </w:r>
      <w:proofErr w:type="spellStart"/>
      <w:r w:rsidRPr="00365CBF">
        <w:rPr>
          <w:rFonts w:ascii="Times New Roman" w:hAnsi="Times New Roman"/>
          <w:sz w:val="24"/>
          <w:szCs w:val="24"/>
        </w:rPr>
        <w:t>poliamina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 os mecanismos de transporte são cruciais para a aptidão e a patogênese do Streptococcus </w:t>
      </w:r>
      <w:proofErr w:type="spellStart"/>
      <w:proofErr w:type="gram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Microbiology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(Reading, Inglaterra) </w:t>
      </w:r>
      <w:proofErr w:type="gramStart"/>
      <w:r w:rsidRPr="00365CBF">
        <w:rPr>
          <w:rFonts w:ascii="Times New Roman" w:hAnsi="Times New Roman"/>
          <w:sz w:val="24"/>
          <w:szCs w:val="24"/>
        </w:rPr>
        <w:t>157 ,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504-515, 10.1099 / mic.0.042564-0 (2011).</w:t>
      </w:r>
    </w:p>
    <w:p w14:paraId="6F153B17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50.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Wortham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BW, </w:t>
      </w:r>
      <w:proofErr w:type="spellStart"/>
      <w:r w:rsidRPr="00365CBF">
        <w:rPr>
          <w:rFonts w:ascii="Times New Roman" w:hAnsi="Times New Roman"/>
          <w:sz w:val="24"/>
          <w:szCs w:val="24"/>
        </w:rPr>
        <w:t>Patel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CN e Oliveira MA </w:t>
      </w:r>
      <w:proofErr w:type="spellStart"/>
      <w:r w:rsidRPr="00365CBF">
        <w:rPr>
          <w:rFonts w:ascii="Times New Roman" w:hAnsi="Times New Roman"/>
          <w:sz w:val="24"/>
          <w:szCs w:val="24"/>
        </w:rPr>
        <w:t>Poliaminas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em bactérias: efeitos </w:t>
      </w:r>
      <w:proofErr w:type="spellStart"/>
      <w:r w:rsidRPr="00365CBF">
        <w:rPr>
          <w:rFonts w:ascii="Times New Roman" w:hAnsi="Times New Roman"/>
          <w:sz w:val="24"/>
          <w:szCs w:val="24"/>
        </w:rPr>
        <w:t>pleiotrópicos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ainda mecanismos </w:t>
      </w:r>
      <w:proofErr w:type="gramStart"/>
      <w:r w:rsidRPr="00365CBF">
        <w:rPr>
          <w:rFonts w:ascii="Times New Roman" w:hAnsi="Times New Roman"/>
          <w:sz w:val="24"/>
          <w:szCs w:val="24"/>
        </w:rPr>
        <w:t>específicos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Adv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Exp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Med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Biol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65CBF">
        <w:rPr>
          <w:rFonts w:ascii="Times New Roman" w:hAnsi="Times New Roman"/>
          <w:sz w:val="24"/>
          <w:szCs w:val="24"/>
        </w:rPr>
        <w:t>603 ,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106-115, 10.1007 / 978-0-387-72124-8_9 (2007).</w:t>
      </w:r>
    </w:p>
    <w:p w14:paraId="1C88DC9D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</w:rPr>
        <w:t>51.</w:t>
      </w:r>
      <w:r w:rsidRPr="00365CBF">
        <w:rPr>
          <w:rFonts w:ascii="Times New Roman" w:hAnsi="Times New Roman"/>
          <w:sz w:val="24"/>
          <w:szCs w:val="24"/>
        </w:rPr>
        <w:tab/>
        <w:t xml:space="preserve">. </w:t>
      </w:r>
      <w:proofErr w:type="spellStart"/>
      <w:r w:rsidRPr="00365CBF">
        <w:rPr>
          <w:rFonts w:ascii="Times New Roman" w:hAnsi="Times New Roman"/>
          <w:sz w:val="24"/>
          <w:szCs w:val="24"/>
        </w:rPr>
        <w:t>Shah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P., </w:t>
      </w:r>
      <w:proofErr w:type="spellStart"/>
      <w:r w:rsidRPr="00365CBF">
        <w:rPr>
          <w:rFonts w:ascii="Times New Roman" w:hAnsi="Times New Roman"/>
          <w:sz w:val="24"/>
          <w:szCs w:val="24"/>
        </w:rPr>
        <w:t>Marquart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M., </w:t>
      </w:r>
      <w:proofErr w:type="spellStart"/>
      <w:r w:rsidRPr="00365CBF">
        <w:rPr>
          <w:rFonts w:ascii="Times New Roman" w:hAnsi="Times New Roman"/>
          <w:sz w:val="24"/>
          <w:szCs w:val="24"/>
        </w:rPr>
        <w:t>Quin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LR &amp; </w:t>
      </w:r>
      <w:proofErr w:type="spellStart"/>
      <w:r w:rsidRPr="00365CBF">
        <w:rPr>
          <w:rFonts w:ascii="Times New Roman" w:hAnsi="Times New Roman"/>
          <w:sz w:val="24"/>
          <w:szCs w:val="24"/>
        </w:rPr>
        <w:t>Swiatlo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E. Localização celular da proteína de transporte de </w:t>
      </w:r>
      <w:proofErr w:type="spellStart"/>
      <w:r w:rsidRPr="00365CBF">
        <w:rPr>
          <w:rFonts w:ascii="Times New Roman" w:hAnsi="Times New Roman"/>
          <w:sz w:val="24"/>
          <w:szCs w:val="24"/>
        </w:rPr>
        <w:t>poliamina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PotD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em Streptococcus </w:t>
      </w:r>
      <w:proofErr w:type="spellStart"/>
      <w:proofErr w:type="gram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FEMS </w:t>
      </w:r>
      <w:proofErr w:type="spellStart"/>
      <w:r w:rsidRPr="00365CBF">
        <w:rPr>
          <w:rFonts w:ascii="Times New Roman" w:hAnsi="Times New Roman"/>
          <w:sz w:val="24"/>
          <w:szCs w:val="24"/>
        </w:rPr>
        <w:t>Microbiol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65CBF">
        <w:rPr>
          <w:rFonts w:ascii="Times New Roman" w:hAnsi="Times New Roman"/>
          <w:sz w:val="24"/>
          <w:szCs w:val="24"/>
        </w:rPr>
        <w:t>Lett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365CBF">
        <w:rPr>
          <w:rFonts w:ascii="Times New Roman" w:hAnsi="Times New Roman"/>
          <w:sz w:val="24"/>
          <w:szCs w:val="24"/>
        </w:rPr>
        <w:t>261 ,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235-237, 10.1111 / j.1574-6968.2006.00352.x (2006)</w:t>
      </w:r>
    </w:p>
    <w:p w14:paraId="4984453B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</w:rPr>
        <w:t>52.</w:t>
      </w:r>
      <w:r w:rsidRPr="00365CBF">
        <w:rPr>
          <w:rFonts w:ascii="Times New Roman" w:hAnsi="Times New Roman"/>
          <w:sz w:val="24"/>
          <w:szCs w:val="24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</w:rPr>
        <w:t>Ware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D., Jiang Y., Lin W. &amp; </w:t>
      </w:r>
      <w:proofErr w:type="spellStart"/>
      <w:r w:rsidRPr="00365CBF">
        <w:rPr>
          <w:rFonts w:ascii="Times New Roman" w:hAnsi="Times New Roman"/>
          <w:sz w:val="24"/>
          <w:szCs w:val="24"/>
        </w:rPr>
        <w:t>Swiatlo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E. Envolvimento de </w:t>
      </w:r>
      <w:proofErr w:type="spellStart"/>
      <w:r w:rsidRPr="00365CBF">
        <w:rPr>
          <w:rFonts w:ascii="Times New Roman" w:hAnsi="Times New Roman"/>
          <w:sz w:val="24"/>
          <w:szCs w:val="24"/>
        </w:rPr>
        <w:t>potD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no transporte e patogênese da </w:t>
      </w:r>
      <w:proofErr w:type="spellStart"/>
      <w:r w:rsidRPr="00365CBF">
        <w:rPr>
          <w:rFonts w:ascii="Times New Roman" w:hAnsi="Times New Roman"/>
          <w:sz w:val="24"/>
          <w:szCs w:val="24"/>
        </w:rPr>
        <w:t>poliamina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de Streptococcus </w:t>
      </w:r>
      <w:proofErr w:type="spellStart"/>
      <w:proofErr w:type="gramStart"/>
      <w:r w:rsidRPr="00365CBF">
        <w:rPr>
          <w:rFonts w:ascii="Times New Roman" w:hAnsi="Times New Roman"/>
          <w:sz w:val="24"/>
          <w:szCs w:val="24"/>
        </w:rPr>
        <w:t>pneumoniae</w:t>
      </w:r>
      <w:proofErr w:type="spellEnd"/>
      <w:r w:rsidRPr="00365CBF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365CBF">
        <w:rPr>
          <w:rFonts w:ascii="Times New Roman" w:hAnsi="Times New Roman"/>
          <w:sz w:val="24"/>
          <w:szCs w:val="24"/>
        </w:rPr>
        <w:t xml:space="preserve"> </w:t>
      </w:r>
      <w:r w:rsidRPr="00365CBF">
        <w:rPr>
          <w:rFonts w:ascii="Times New Roman" w:hAnsi="Times New Roman"/>
          <w:sz w:val="24"/>
          <w:szCs w:val="24"/>
          <w:lang w:val="en-US"/>
        </w:rPr>
        <w:t xml:space="preserve">Infect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Immun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gramStart"/>
      <w:r w:rsidRPr="00365CBF">
        <w:rPr>
          <w:rFonts w:ascii="Times New Roman" w:hAnsi="Times New Roman"/>
          <w:sz w:val="24"/>
          <w:szCs w:val="24"/>
          <w:lang w:val="en-US"/>
        </w:rPr>
        <w:t>74 ,</w:t>
      </w:r>
      <w:proofErr w:type="gramEnd"/>
      <w:r w:rsidRPr="00365CBF">
        <w:rPr>
          <w:rFonts w:ascii="Times New Roman" w:hAnsi="Times New Roman"/>
          <w:sz w:val="24"/>
          <w:szCs w:val="24"/>
          <w:lang w:val="en-US"/>
        </w:rPr>
        <w:t xml:space="preserve"> 352–361, 10.1128 / IAI.74.1.352-361.2006 (2006). </w:t>
      </w:r>
    </w:p>
    <w:p w14:paraId="7260CC3C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53.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Goulart, C., et al., Selection of family 1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PspA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molecules capable of inducing broad-ranging cross-reactivity by complement deposition and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opsonophagocytosis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by murine peritoneal cells. Vaccine, 2011. 29(8): p. 1634-42.</w:t>
      </w:r>
    </w:p>
    <w:p w14:paraId="068817E8" w14:textId="77777777" w:rsidR="00365CBF" w:rsidRP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54.</w:t>
      </w:r>
      <w:r w:rsidRPr="00365CBF">
        <w:rPr>
          <w:rFonts w:ascii="Times New Roman" w:hAnsi="Times New Roman"/>
          <w:sz w:val="24"/>
          <w:szCs w:val="24"/>
          <w:lang w:val="en-US"/>
        </w:rPr>
        <w:tab/>
        <w:t>Converso, T.R., et al., The long search for a serotype independent pneumococcal vaccine. Expert Rev Vaccines, 2020. 19(1): p. 57-70.</w:t>
      </w:r>
    </w:p>
    <w:p w14:paraId="2E09C75F" w14:textId="77777777" w:rsidR="00365CBF" w:rsidRPr="00DF7ED9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55.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Darrieux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, M., et al., Current status and perspectives on protein-based pneumococcal vaccines. </w:t>
      </w:r>
      <w:proofErr w:type="spellStart"/>
      <w:r w:rsidRPr="00DF7ED9">
        <w:rPr>
          <w:rFonts w:ascii="Times New Roman" w:hAnsi="Times New Roman"/>
          <w:sz w:val="24"/>
          <w:szCs w:val="24"/>
          <w:lang w:val="en-US"/>
        </w:rPr>
        <w:t>Crit</w:t>
      </w:r>
      <w:proofErr w:type="spellEnd"/>
      <w:r w:rsidRPr="00DF7ED9">
        <w:rPr>
          <w:rFonts w:ascii="Times New Roman" w:hAnsi="Times New Roman"/>
          <w:sz w:val="24"/>
          <w:szCs w:val="24"/>
          <w:lang w:val="en-US"/>
        </w:rPr>
        <w:t xml:space="preserve"> Rev Microbiol, 2015. 41(2): p. 190-200.</w:t>
      </w:r>
    </w:p>
    <w:p w14:paraId="3A8B584B" w14:textId="4B1361D0" w:rsid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65CBF">
        <w:rPr>
          <w:rFonts w:ascii="Times New Roman" w:hAnsi="Times New Roman"/>
          <w:sz w:val="24"/>
          <w:szCs w:val="24"/>
          <w:lang w:val="en-US"/>
        </w:rPr>
        <w:t>56.</w:t>
      </w:r>
      <w:r w:rsidRPr="00365CBF">
        <w:rPr>
          <w:rFonts w:ascii="Times New Roman" w:hAnsi="Times New Roman"/>
          <w:sz w:val="24"/>
          <w:szCs w:val="24"/>
          <w:lang w:val="en-US"/>
        </w:rPr>
        <w:tab/>
      </w:r>
      <w:r w:rsidRPr="00365CBF">
        <w:rPr>
          <w:rFonts w:ascii="Times New Roman" w:hAnsi="Times New Roman"/>
          <w:sz w:val="24"/>
          <w:szCs w:val="24"/>
          <w:lang w:val="en-US"/>
        </w:rPr>
        <w:tab/>
        <w:t xml:space="preserve">Converso, T.R., et al., Systemic immunization with </w:t>
      </w:r>
      <w:proofErr w:type="spellStart"/>
      <w:r w:rsidRPr="00365CBF">
        <w:rPr>
          <w:rFonts w:ascii="Times New Roman" w:hAnsi="Times New Roman"/>
          <w:sz w:val="24"/>
          <w:szCs w:val="24"/>
          <w:lang w:val="en-US"/>
        </w:rPr>
        <w:t>rPotD</w:t>
      </w:r>
      <w:proofErr w:type="spellEnd"/>
      <w:r w:rsidRPr="00365CBF">
        <w:rPr>
          <w:rFonts w:ascii="Times New Roman" w:hAnsi="Times New Roman"/>
          <w:sz w:val="24"/>
          <w:szCs w:val="24"/>
          <w:lang w:val="en-US"/>
        </w:rPr>
        <w:t xml:space="preserve"> reduces Streptococcus pneumoniae nasopharyngeal colonization in mice. </w:t>
      </w:r>
      <w:proofErr w:type="spellStart"/>
      <w:r w:rsidRPr="00365CBF">
        <w:rPr>
          <w:rFonts w:ascii="Times New Roman" w:hAnsi="Times New Roman"/>
          <w:sz w:val="24"/>
          <w:szCs w:val="24"/>
        </w:rPr>
        <w:t>Vaccine</w:t>
      </w:r>
      <w:proofErr w:type="spellEnd"/>
      <w:r w:rsidRPr="00365CBF">
        <w:rPr>
          <w:rFonts w:ascii="Times New Roman" w:hAnsi="Times New Roman"/>
          <w:sz w:val="24"/>
          <w:szCs w:val="24"/>
        </w:rPr>
        <w:t>, 2017. 35(1): p. 149-155.</w:t>
      </w:r>
    </w:p>
    <w:p w14:paraId="419C4A92" w14:textId="23E58CFF" w:rsid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85ED0D4" w14:textId="287E25B7" w:rsid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A79A903" w14:textId="06AAD708" w:rsidR="00365CBF" w:rsidRDefault="00365CBF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080487" w14:textId="45A298D7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9CE5C3B" w14:textId="4CB4FB08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0F3334" w14:textId="202C2ECE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A0C514D" w14:textId="2597E738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8E0691" w14:textId="169EBD7F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2D87C4A" w14:textId="262503D8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112A97" w14:textId="2E9BDABE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23767A" w14:textId="6784FCC9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3E29C62" w14:textId="579654FC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472B47" w14:textId="6E541390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A7F742C" w14:textId="7698955F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6A75219" w14:textId="6C057B32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9541F82" w14:textId="1B4978E6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AFCBA5" w14:textId="2F246CB5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6B27A9" w14:textId="60DD31F2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0D1E98E" w14:textId="2FF9C1DB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1B8EBD29" w14:textId="4DFB9620" w:rsidR="005D6BA6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BB275C" w14:textId="77777777" w:rsidR="005D6BA6" w:rsidRPr="007B117A" w:rsidRDefault="005D6BA6" w:rsidP="00365C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721517C" w14:textId="338C3961" w:rsidR="00BA12A8" w:rsidRPr="005D6BA6" w:rsidRDefault="005D6BA6" w:rsidP="00A5081A">
      <w:pPr>
        <w:spacing w:after="0" w:line="240" w:lineRule="auto"/>
        <w:jc w:val="center"/>
        <w:rPr>
          <w:rFonts w:ascii="Times New Roman" w:hAnsi="Times New Roman"/>
          <w:b/>
          <w:lang w:eastAsia="pt-BR"/>
        </w:rPr>
      </w:pPr>
      <w:r w:rsidRPr="005D6BA6">
        <w:rPr>
          <w:rFonts w:ascii="Times New Roman" w:hAnsi="Times New Roman"/>
          <w:b/>
          <w:lang w:eastAsia="pt-BR"/>
        </w:rPr>
        <w:lastRenderedPageBreak/>
        <w:t>Anexo I</w:t>
      </w:r>
    </w:p>
    <w:p w14:paraId="143FD0E0" w14:textId="77777777" w:rsidR="00BA12A8" w:rsidRDefault="00BA12A8" w:rsidP="00A5081A">
      <w:pPr>
        <w:spacing w:after="0" w:line="240" w:lineRule="auto"/>
        <w:jc w:val="center"/>
        <w:rPr>
          <w:b/>
          <w:color w:val="FF0000"/>
          <w:lang w:eastAsia="pt-BR"/>
        </w:rPr>
      </w:pPr>
    </w:p>
    <w:p w14:paraId="5AF53638" w14:textId="25265A3C" w:rsidR="009D7E46" w:rsidRPr="00E873BE" w:rsidRDefault="005D6BA6" w:rsidP="00E873BE">
      <w:pPr>
        <w:spacing w:after="0" w:line="240" w:lineRule="auto"/>
        <w:jc w:val="center"/>
        <w:rPr>
          <w:b/>
          <w:color w:val="FF0000"/>
          <w:sz w:val="28"/>
          <w:szCs w:val="28"/>
          <w:lang w:eastAsia="pt-BR"/>
        </w:rPr>
      </w:pPr>
      <w:r>
        <w:rPr>
          <w:b/>
          <w:noProof/>
          <w:color w:val="FF0000"/>
          <w:sz w:val="28"/>
          <w:szCs w:val="28"/>
          <w:lang w:eastAsia="pt-BR"/>
        </w:rPr>
        <w:drawing>
          <wp:inline distT="0" distB="0" distL="0" distR="0" wp14:anchorId="5A7103B8" wp14:editId="4BE4D759">
            <wp:extent cx="5316220" cy="7517130"/>
            <wp:effectExtent l="0" t="0" r="0" b="762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6220" cy="7517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D7E46" w:rsidRPr="00E873BE" w:rsidSect="00892E16">
      <w:headerReference w:type="default" r:id="rId15"/>
      <w:footerReference w:type="default" r:id="rId16"/>
      <w:pgSz w:w="11906" w:h="16838"/>
      <w:pgMar w:top="1098" w:right="1418" w:bottom="1418" w:left="1418" w:header="0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Amanda Della Coletta" w:date="2020-09-07T18:02:00Z" w:initials="ADC">
    <w:p w14:paraId="3BB0D536" w14:textId="300B92C5" w:rsidR="00BA7B12" w:rsidRDefault="00BA7B12">
      <w:pPr>
        <w:pStyle w:val="Textodecomentrio"/>
      </w:pPr>
      <w:r>
        <w:rPr>
          <w:rStyle w:val="Refdecomentrio"/>
        </w:rPr>
        <w:annotationRef/>
      </w:r>
      <w:r>
        <w:t>itálico</w:t>
      </w:r>
    </w:p>
  </w:comment>
  <w:comment w:id="1" w:author="Amanda Della Coletta" w:date="2020-09-07T18:03:00Z" w:initials="ADC">
    <w:p w14:paraId="470A5374" w14:textId="3F5BCC11" w:rsidR="00BA7B12" w:rsidRDefault="00BA7B12">
      <w:pPr>
        <w:pStyle w:val="Textodecomentrio"/>
      </w:pPr>
      <w:r>
        <w:rPr>
          <w:rStyle w:val="Refdecomentrio"/>
        </w:rPr>
        <w:annotationRef/>
      </w:r>
      <w:r>
        <w:t>itálico</w:t>
      </w:r>
    </w:p>
  </w:comment>
  <w:comment w:id="2" w:author="Amanda Della Coletta" w:date="2020-09-07T18:04:00Z" w:initials="ADC">
    <w:p w14:paraId="3FB0852A" w14:textId="1902670E" w:rsidR="00BA7B12" w:rsidRDefault="00BA7B12">
      <w:pPr>
        <w:pStyle w:val="Textodecomentrio"/>
      </w:pPr>
      <w:r>
        <w:rPr>
          <w:rStyle w:val="Refdecomentrio"/>
        </w:rPr>
        <w:annotationRef/>
      </w:r>
      <w:r>
        <w:t>pneumococo</w:t>
      </w:r>
    </w:p>
  </w:comment>
  <w:comment w:id="3" w:author="Amanda Della Coletta" w:date="2020-09-07T18:05:00Z" w:initials="ADC">
    <w:p w14:paraId="0A00E06C" w14:textId="458AC7DD" w:rsidR="00BA7B12" w:rsidRDefault="00BA7B12">
      <w:pPr>
        <w:pStyle w:val="Textodecomentrio"/>
      </w:pPr>
      <w:r>
        <w:rPr>
          <w:rStyle w:val="Refdecomentrio"/>
        </w:rPr>
        <w:annotationRef/>
      </w:r>
      <w:r>
        <w:t>Como já é o resultado do seu estudo, tempo verbal no passado</w:t>
      </w:r>
    </w:p>
  </w:comment>
  <w:comment w:id="4" w:author="Usuario" w:date="2020-08-19T11:21:00Z" w:initials="U">
    <w:p w14:paraId="63372C36" w14:textId="77777777" w:rsidR="001D7A45" w:rsidRDefault="001D7A45">
      <w:pPr>
        <w:pStyle w:val="Textodecomentrio"/>
      </w:pPr>
      <w:r>
        <w:rPr>
          <w:rStyle w:val="Refdecomentrio"/>
        </w:rPr>
        <w:annotationRef/>
      </w:r>
      <w:r>
        <w:t>No TCC1 não falei sobre as proteínas recombinantes, nesse posso colocar? O que deixei em azul, da avaliação da cápsula vamos fazer?</w:t>
      </w:r>
    </w:p>
  </w:comment>
  <w:comment w:id="5" w:author="Amanda Della Coletta" w:date="2020-09-07T18:05:00Z" w:initials="ADC">
    <w:p w14:paraId="6F30DF37" w14:textId="369B971C" w:rsidR="00BA7B12" w:rsidRDefault="00BA7B12">
      <w:pPr>
        <w:pStyle w:val="Textodecomentrio"/>
      </w:pPr>
      <w:r>
        <w:rPr>
          <w:rStyle w:val="Refdecomentrio"/>
        </w:rPr>
        <w:annotationRef/>
      </w:r>
      <w:r>
        <w:t>Pode sim, sem problemas.</w:t>
      </w:r>
    </w:p>
  </w:comment>
  <w:comment w:id="6" w:author="Usuario" w:date="2020-08-19T11:23:00Z" w:initials="U">
    <w:p w14:paraId="56A8086E" w14:textId="77777777" w:rsidR="001D7A45" w:rsidRDefault="001D7A45">
      <w:pPr>
        <w:pStyle w:val="Textodecomentrio"/>
      </w:pPr>
      <w:r>
        <w:rPr>
          <w:rStyle w:val="Refdecomentrio"/>
        </w:rPr>
        <w:annotationRef/>
      </w:r>
      <w:r>
        <w:t xml:space="preserve">Quando tiver resultados eu vou mudar </w:t>
      </w:r>
      <w:proofErr w:type="gramStart"/>
      <w:r>
        <w:t>aqui..</w:t>
      </w:r>
      <w:proofErr w:type="gramEnd"/>
    </w:p>
    <w:p w14:paraId="0758449F" w14:textId="77777777" w:rsidR="001D7A45" w:rsidRDefault="001D7A45">
      <w:pPr>
        <w:pStyle w:val="Textodecomentrio"/>
      </w:pPr>
    </w:p>
  </w:comment>
  <w:comment w:id="7" w:author="Amanda Della Coletta" w:date="2020-09-07T18:06:00Z" w:initials="ADC">
    <w:p w14:paraId="782243CC" w14:textId="645B3CEB" w:rsidR="00BA7B12" w:rsidRDefault="00BA7B12">
      <w:pPr>
        <w:pStyle w:val="Textodecomentrio"/>
      </w:pPr>
      <w:r>
        <w:rPr>
          <w:rStyle w:val="Refdecomentrio"/>
        </w:rPr>
        <w:annotationRef/>
      </w:r>
      <w:r>
        <w:t>OK</w:t>
      </w:r>
    </w:p>
  </w:comment>
  <w:comment w:id="8" w:author="Usuario" w:date="2020-08-19T11:25:00Z" w:initials="U">
    <w:p w14:paraId="604D4760" w14:textId="77777777" w:rsidR="001D7A45" w:rsidRDefault="001D7A45">
      <w:pPr>
        <w:pStyle w:val="Textodecomentrio"/>
      </w:pPr>
      <w:r>
        <w:rPr>
          <w:rStyle w:val="Refdecomentrio"/>
        </w:rPr>
        <w:annotationRef/>
      </w:r>
      <w:r>
        <w:t xml:space="preserve">Amanda. vou </w:t>
      </w:r>
      <w:proofErr w:type="spellStart"/>
      <w:r>
        <w:t>add</w:t>
      </w:r>
      <w:proofErr w:type="spellEnd"/>
      <w:r>
        <w:t xml:space="preserve"> depois que o resumo em português for definitivo</w:t>
      </w:r>
    </w:p>
  </w:comment>
  <w:comment w:id="9" w:author="Amanda Della Coletta" w:date="2020-09-07T18:06:00Z" w:initials="ADC">
    <w:p w14:paraId="1B3CF809" w14:textId="4CB27D19" w:rsidR="00BA7B12" w:rsidRDefault="00BA7B12">
      <w:pPr>
        <w:pStyle w:val="Textodecomentrio"/>
      </w:pPr>
      <w:r>
        <w:rPr>
          <w:rStyle w:val="Refdecomentrio"/>
        </w:rPr>
        <w:annotationRef/>
      </w:r>
      <w:r>
        <w:t>OK</w:t>
      </w:r>
    </w:p>
  </w:comment>
  <w:comment w:id="10" w:author="Amanda Della Coletta" w:date="2020-09-07T19:46:00Z" w:initials="ADC">
    <w:p w14:paraId="41CE1E22" w14:textId="65EF67DE" w:rsidR="00DA442E" w:rsidRDefault="00DA442E">
      <w:pPr>
        <w:pStyle w:val="Textodecomentrio"/>
      </w:pPr>
      <w:r>
        <w:rPr>
          <w:rStyle w:val="Refdecomentrio"/>
        </w:rPr>
        <w:annotationRef/>
      </w:r>
      <w:r>
        <w:t xml:space="preserve">Pode introduzir a sigla aqui (S. </w:t>
      </w:r>
      <w:proofErr w:type="spellStart"/>
      <w:r>
        <w:t>pneumoniae</w:t>
      </w:r>
      <w:proofErr w:type="spellEnd"/>
      <w:r>
        <w:t>)</w:t>
      </w:r>
    </w:p>
  </w:comment>
  <w:comment w:id="11" w:author="Amanda Della Coletta" w:date="2020-09-07T18:07:00Z" w:initials="ADC">
    <w:p w14:paraId="7676006B" w14:textId="45448983" w:rsidR="00BA7B12" w:rsidRDefault="00BA7B12">
      <w:pPr>
        <w:pStyle w:val="Textodecomentrio"/>
      </w:pPr>
      <w:r>
        <w:rPr>
          <w:rStyle w:val="Refdecomentrio"/>
        </w:rPr>
        <w:annotationRef/>
      </w:r>
      <w:r>
        <w:t xml:space="preserve">As citações ao longo do texto devem vir com AUTOR, ano. – </w:t>
      </w:r>
      <w:proofErr w:type="gramStart"/>
      <w:r>
        <w:t>formato</w:t>
      </w:r>
      <w:proofErr w:type="gramEnd"/>
      <w:r>
        <w:t xml:space="preserve"> da revista. Caso tenha mais de três autores, deve usar et al. ao longo do texto</w:t>
      </w:r>
    </w:p>
  </w:comment>
  <w:comment w:id="12" w:author="Amanda Della Coletta" w:date="2020-09-07T19:31:00Z" w:initials="ADC">
    <w:p w14:paraId="4A00B638" w14:textId="17B1ED25" w:rsidR="003F711A" w:rsidRDefault="003F711A">
      <w:pPr>
        <w:pStyle w:val="Textodecomentrio"/>
      </w:pPr>
      <w:r>
        <w:rPr>
          <w:rStyle w:val="Refdecomentrio"/>
        </w:rPr>
        <w:annotationRef/>
      </w:r>
      <w:r>
        <w:t>Talvez na literatura tenha alguma imagem ilustrando essa interação, seria interessante</w:t>
      </w:r>
    </w:p>
  </w:comment>
  <w:comment w:id="13" w:author="Amanda Della Coletta" w:date="2020-09-07T19:35:00Z" w:initials="ADC">
    <w:p w14:paraId="1FE352D3" w14:textId="0A752189" w:rsidR="003F711A" w:rsidRDefault="003F711A">
      <w:pPr>
        <w:pStyle w:val="Textodecomentrio"/>
      </w:pPr>
      <w:r>
        <w:rPr>
          <w:rStyle w:val="Refdecomentrio"/>
        </w:rPr>
        <w:annotationRef/>
      </w:r>
      <w:r>
        <w:t>Itálico</w:t>
      </w:r>
      <w:r>
        <w:br/>
        <w:t xml:space="preserve">Essa foi a primeira vez que você utiliza S. </w:t>
      </w:r>
      <w:proofErr w:type="spellStart"/>
      <w:r>
        <w:t>pneumoniae</w:t>
      </w:r>
      <w:proofErr w:type="spellEnd"/>
      <w:r>
        <w:t xml:space="preserve">, poderia introduzir a sigla no começo e a partir de lá utilizar o S. </w:t>
      </w:r>
      <w:proofErr w:type="spellStart"/>
      <w:r>
        <w:t>pneumoniae</w:t>
      </w:r>
      <w:proofErr w:type="spellEnd"/>
    </w:p>
  </w:comment>
  <w:comment w:id="14" w:author="Amanda Della Coletta" w:date="2020-09-07T19:38:00Z" w:initials="ADC">
    <w:p w14:paraId="4A94449C" w14:textId="7CC0D3E4" w:rsidR="003F711A" w:rsidRDefault="003F711A">
      <w:pPr>
        <w:pStyle w:val="Textodecomentrio"/>
      </w:pPr>
      <w:r>
        <w:rPr>
          <w:rStyle w:val="Refdecomentrio"/>
        </w:rPr>
        <w:annotationRef/>
      </w:r>
      <w:r>
        <w:t>Acho que seria interessante colocar a justificativa e objetivos em um parágrafo separado</w:t>
      </w:r>
    </w:p>
  </w:comment>
  <w:comment w:id="15" w:author="Amanda Della Coletta" w:date="2020-09-07T19:39:00Z" w:initials="ADC">
    <w:p w14:paraId="0C8DD182" w14:textId="080518A5" w:rsidR="003F711A" w:rsidRDefault="003F711A">
      <w:pPr>
        <w:pStyle w:val="Textodecomentrio"/>
      </w:pPr>
      <w:r>
        <w:rPr>
          <w:rStyle w:val="Refdecomentrio"/>
        </w:rPr>
        <w:annotationRef/>
      </w:r>
      <w:r>
        <w:t>Colocar em destaque, da mesma maneira que estão os outros subtítulos</w:t>
      </w:r>
    </w:p>
  </w:comment>
  <w:comment w:id="16" w:author="Amanda Della Coletta" w:date="2020-09-07T19:39:00Z" w:initials="ADC">
    <w:p w14:paraId="468F26B1" w14:textId="246CD949" w:rsidR="003F711A" w:rsidRDefault="003F711A">
      <w:pPr>
        <w:pStyle w:val="Textodecomentrio"/>
      </w:pPr>
      <w:r>
        <w:rPr>
          <w:rStyle w:val="Refdecomentrio"/>
        </w:rPr>
        <w:annotationRef/>
      </w:r>
      <w:r>
        <w:t>Ajustar tempo verbal</w:t>
      </w:r>
    </w:p>
  </w:comment>
  <w:comment w:id="17" w:author="Amanda Della Coletta" w:date="2020-09-07T19:41:00Z" w:initials="ADC">
    <w:p w14:paraId="7ED87A7E" w14:textId="00EB801A" w:rsidR="003F711A" w:rsidRDefault="003F711A">
      <w:pPr>
        <w:pStyle w:val="Textodecomentrio"/>
      </w:pPr>
      <w:r>
        <w:rPr>
          <w:rStyle w:val="Refdecomentrio"/>
        </w:rPr>
        <w:annotationRef/>
      </w:r>
      <w:r>
        <w:t>Ajustar tempo verbal</w:t>
      </w:r>
    </w:p>
  </w:comment>
  <w:comment w:id="18" w:author="Amanda Della Coletta" w:date="2020-09-07T19:41:00Z" w:initials="ADC">
    <w:p w14:paraId="3A1CF017" w14:textId="77777777" w:rsidR="00DA442E" w:rsidRDefault="00DA442E">
      <w:pPr>
        <w:pStyle w:val="Textodecomentrio"/>
      </w:pPr>
      <w:r>
        <w:rPr>
          <w:rStyle w:val="Refdecomentrio"/>
        </w:rPr>
        <w:annotationRef/>
      </w:r>
      <w:r>
        <w:t xml:space="preserve">No formato da revista USF, as referências são em ordem alfabética, contendo o nome de todos os autores. O et al. deverá ser usado nas citações ao longo do texto com mais de três autores </w:t>
      </w:r>
    </w:p>
    <w:p w14:paraId="5175461F" w14:textId="4B2ABE2A" w:rsidR="00DA442E" w:rsidRDefault="00DA442E">
      <w:pPr>
        <w:pStyle w:val="Textodecomentrio"/>
      </w:pPr>
      <w:r>
        <w:t>Observar formato no exemplo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BB0D536" w15:done="0"/>
  <w15:commentEx w15:paraId="470A5374" w15:done="0"/>
  <w15:commentEx w15:paraId="3FB0852A" w15:done="0"/>
  <w15:commentEx w15:paraId="0A00E06C" w15:done="0"/>
  <w15:commentEx w15:paraId="63372C36" w15:done="0"/>
  <w15:commentEx w15:paraId="6F30DF37" w15:paraIdParent="63372C36" w15:done="0"/>
  <w15:commentEx w15:paraId="0758449F" w15:done="0"/>
  <w15:commentEx w15:paraId="782243CC" w15:paraIdParent="0758449F" w15:done="0"/>
  <w15:commentEx w15:paraId="604D4760" w15:done="0"/>
  <w15:commentEx w15:paraId="1B3CF809" w15:paraIdParent="604D4760" w15:done="0"/>
  <w15:commentEx w15:paraId="41CE1E22" w15:done="0"/>
  <w15:commentEx w15:paraId="7676006B" w15:done="0"/>
  <w15:commentEx w15:paraId="4A00B638" w15:done="0"/>
  <w15:commentEx w15:paraId="1FE352D3" w15:done="0"/>
  <w15:commentEx w15:paraId="4A94449C" w15:done="0"/>
  <w15:commentEx w15:paraId="0C8DD182" w15:done="0"/>
  <w15:commentEx w15:paraId="468F26B1" w15:done="0"/>
  <w15:commentEx w15:paraId="7ED87A7E" w15:done="0"/>
  <w15:commentEx w15:paraId="5175461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0F432" w16cex:dateUtc="2020-09-07T21:02:00Z"/>
  <w16cex:commentExtensible w16cex:durableId="2300F485" w16cex:dateUtc="2020-09-07T21:03:00Z"/>
  <w16cex:commentExtensible w16cex:durableId="2300F4B3" w16cex:dateUtc="2020-09-07T21:04:00Z"/>
  <w16cex:commentExtensible w16cex:durableId="2300F4DE" w16cex:dateUtc="2020-09-07T21:05:00Z"/>
  <w16cex:commentExtensible w16cex:durableId="2300F4CD" w16cex:dateUtc="2020-09-07T21:05:00Z"/>
  <w16cex:commentExtensible w16cex:durableId="2300F509" w16cex:dateUtc="2020-09-07T21:06:00Z"/>
  <w16cex:commentExtensible w16cex:durableId="2300F513" w16cex:dateUtc="2020-09-07T21:06:00Z"/>
  <w16cex:commentExtensible w16cex:durableId="23010C95" w16cex:dateUtc="2020-09-07T22:46:00Z"/>
  <w16cex:commentExtensible w16cex:durableId="2300F578" w16cex:dateUtc="2020-09-07T21:07:00Z"/>
  <w16cex:commentExtensible w16cex:durableId="23010913" w16cex:dateUtc="2020-09-07T22:31:00Z"/>
  <w16cex:commentExtensible w16cex:durableId="230109ED" w16cex:dateUtc="2020-09-07T22:35:00Z"/>
  <w16cex:commentExtensible w16cex:durableId="23010AAE" w16cex:dateUtc="2020-09-07T22:38:00Z"/>
  <w16cex:commentExtensible w16cex:durableId="23010AD6" w16cex:dateUtc="2020-09-07T22:39:00Z"/>
  <w16cex:commentExtensible w16cex:durableId="23010AF3" w16cex:dateUtc="2020-09-07T22:39:00Z"/>
  <w16cex:commentExtensible w16cex:durableId="23010B61" w16cex:dateUtc="2020-09-07T22:41:00Z"/>
  <w16cex:commentExtensible w16cex:durableId="23010B86" w16cex:dateUtc="2020-09-07T22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BB0D536" w16cid:durableId="2300F432"/>
  <w16cid:commentId w16cid:paraId="470A5374" w16cid:durableId="2300F485"/>
  <w16cid:commentId w16cid:paraId="3FB0852A" w16cid:durableId="2300F4B3"/>
  <w16cid:commentId w16cid:paraId="0A00E06C" w16cid:durableId="2300F4DE"/>
  <w16cid:commentId w16cid:paraId="63372C36" w16cid:durableId="2300F3EE"/>
  <w16cid:commentId w16cid:paraId="6F30DF37" w16cid:durableId="2300F4CD"/>
  <w16cid:commentId w16cid:paraId="0758449F" w16cid:durableId="2300F3EF"/>
  <w16cid:commentId w16cid:paraId="782243CC" w16cid:durableId="2300F509"/>
  <w16cid:commentId w16cid:paraId="604D4760" w16cid:durableId="2300F3F0"/>
  <w16cid:commentId w16cid:paraId="1B3CF809" w16cid:durableId="2300F513"/>
  <w16cid:commentId w16cid:paraId="41CE1E22" w16cid:durableId="23010C95"/>
  <w16cid:commentId w16cid:paraId="7676006B" w16cid:durableId="2300F578"/>
  <w16cid:commentId w16cid:paraId="4A00B638" w16cid:durableId="23010913"/>
  <w16cid:commentId w16cid:paraId="1FE352D3" w16cid:durableId="230109ED"/>
  <w16cid:commentId w16cid:paraId="4A94449C" w16cid:durableId="23010AAE"/>
  <w16cid:commentId w16cid:paraId="0C8DD182" w16cid:durableId="23010AD6"/>
  <w16cid:commentId w16cid:paraId="468F26B1" w16cid:durableId="23010AF3"/>
  <w16cid:commentId w16cid:paraId="7ED87A7E" w16cid:durableId="23010B61"/>
  <w16cid:commentId w16cid:paraId="5175461F" w16cid:durableId="23010B8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65D876" w14:textId="77777777" w:rsidR="00F12155" w:rsidRDefault="00F12155" w:rsidP="006E2BED">
      <w:pPr>
        <w:spacing w:after="0" w:line="240" w:lineRule="auto"/>
      </w:pPr>
      <w:r>
        <w:separator/>
      </w:r>
    </w:p>
  </w:endnote>
  <w:endnote w:type="continuationSeparator" w:id="0">
    <w:p w14:paraId="541B2842" w14:textId="77777777" w:rsidR="00F12155" w:rsidRDefault="00F12155" w:rsidP="006E2B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TRotisSansSerif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7927E3" w14:textId="77777777" w:rsidR="00A5081A" w:rsidRPr="000D5E53" w:rsidRDefault="00634EC3" w:rsidP="00634EC3">
    <w:pPr>
      <w:pStyle w:val="Rodap"/>
      <w:jc w:val="right"/>
    </w:pPr>
    <w:r>
      <w:t>NÃO NUMERAR AS PÁGINAS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899246" w14:textId="77777777" w:rsidR="00F12155" w:rsidRDefault="00F12155" w:rsidP="006E2BED">
      <w:pPr>
        <w:spacing w:after="0" w:line="240" w:lineRule="auto"/>
      </w:pPr>
      <w:r>
        <w:separator/>
      </w:r>
    </w:p>
  </w:footnote>
  <w:footnote w:type="continuationSeparator" w:id="0">
    <w:p w14:paraId="493441BC" w14:textId="77777777" w:rsidR="00F12155" w:rsidRDefault="00F12155" w:rsidP="006E2B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44B0B9" w14:textId="77777777" w:rsidR="00A5081A" w:rsidRDefault="00A5081A" w:rsidP="00A5081A">
    <w:pPr>
      <w:pStyle w:val="Cabealho"/>
    </w:pPr>
  </w:p>
  <w:p w14:paraId="033C7976" w14:textId="714E9081" w:rsidR="00A5081A" w:rsidRDefault="00333688" w:rsidP="00A5081A">
    <w:pPr>
      <w:pStyle w:val="Cabealho"/>
    </w:pPr>
    <w:r w:rsidRPr="00A5081A">
      <w:rPr>
        <w:noProof/>
        <w:lang w:eastAsia="pt-BR"/>
      </w:rPr>
      <w:drawing>
        <wp:inline distT="0" distB="0" distL="0" distR="0" wp14:anchorId="24DC18CA" wp14:editId="63B3519B">
          <wp:extent cx="1390650" cy="1028700"/>
          <wp:effectExtent l="0" t="0" r="0" b="0"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5081A">
      <w:tab/>
    </w:r>
    <w:r w:rsidR="00A5081A">
      <w:rPr>
        <w:rFonts w:ascii="ATRotisSansSerif" w:hAnsi="ATRotisSansSerif"/>
        <w:b/>
        <w:sz w:val="16"/>
        <w:szCs w:val="16"/>
      </w:rPr>
      <w:t>http://ensaios.usf.edu.br</w:t>
    </w:r>
  </w:p>
  <w:p w14:paraId="420C4596" w14:textId="77777777" w:rsidR="006E2BED" w:rsidRDefault="006E2BED" w:rsidP="00A5081A">
    <w:pPr>
      <w:pStyle w:val="Cabealho"/>
      <w:pBdr>
        <w:bottom w:val="single" w:sz="4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0712EB"/>
    <w:multiLevelType w:val="multilevel"/>
    <w:tmpl w:val="CAB04324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E5804A6"/>
    <w:multiLevelType w:val="hybridMultilevel"/>
    <w:tmpl w:val="C31A32E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31365"/>
    <w:multiLevelType w:val="hybridMultilevel"/>
    <w:tmpl w:val="13308B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671AFE"/>
    <w:multiLevelType w:val="hybridMultilevel"/>
    <w:tmpl w:val="0A1C2E8A"/>
    <w:lvl w:ilvl="0" w:tplc="F43084B2">
      <w:start w:val="1"/>
      <w:numFmt w:val="lowerLetter"/>
      <w:lvlText w:val="%1)"/>
      <w:lvlJc w:val="left"/>
      <w:pPr>
        <w:ind w:left="720" w:hanging="360"/>
      </w:pPr>
      <w:rPr>
        <w:rFonts w:cs="Calibri" w:hint="default"/>
        <w:color w:val="auto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6E7D9B"/>
    <w:multiLevelType w:val="hybridMultilevel"/>
    <w:tmpl w:val="2A5C71C8"/>
    <w:lvl w:ilvl="0" w:tplc="7C7ABCD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488A0938"/>
    <w:multiLevelType w:val="hybridMultilevel"/>
    <w:tmpl w:val="B20E4F96"/>
    <w:lvl w:ilvl="0" w:tplc="404CF35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manda Della Coletta">
    <w15:presenceInfo w15:providerId="Windows Live" w15:userId="15b8208ae4dd953f"/>
  </w15:person>
  <w15:person w15:author="Usuario">
    <w15:presenceInfo w15:providerId="None" w15:userId="Usuari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BED"/>
    <w:rsid w:val="000212D7"/>
    <w:rsid w:val="00046B49"/>
    <w:rsid w:val="0006170B"/>
    <w:rsid w:val="00074EDE"/>
    <w:rsid w:val="00091CEE"/>
    <w:rsid w:val="000D3581"/>
    <w:rsid w:val="000D3A76"/>
    <w:rsid w:val="000D5E53"/>
    <w:rsid w:val="00103289"/>
    <w:rsid w:val="00114552"/>
    <w:rsid w:val="00152867"/>
    <w:rsid w:val="00171F2A"/>
    <w:rsid w:val="001D05B7"/>
    <w:rsid w:val="001D7A45"/>
    <w:rsid w:val="001E5DA9"/>
    <w:rsid w:val="001F4CF2"/>
    <w:rsid w:val="00253185"/>
    <w:rsid w:val="00266199"/>
    <w:rsid w:val="00274821"/>
    <w:rsid w:val="00280D50"/>
    <w:rsid w:val="0029396B"/>
    <w:rsid w:val="002D52B1"/>
    <w:rsid w:val="002E6128"/>
    <w:rsid w:val="003042BA"/>
    <w:rsid w:val="00333688"/>
    <w:rsid w:val="00365CBF"/>
    <w:rsid w:val="00376C1A"/>
    <w:rsid w:val="0038534D"/>
    <w:rsid w:val="00386255"/>
    <w:rsid w:val="00395106"/>
    <w:rsid w:val="003D09E8"/>
    <w:rsid w:val="003F3AAA"/>
    <w:rsid w:val="003F711A"/>
    <w:rsid w:val="00404129"/>
    <w:rsid w:val="004048B2"/>
    <w:rsid w:val="00415E7D"/>
    <w:rsid w:val="004429E1"/>
    <w:rsid w:val="004547AB"/>
    <w:rsid w:val="00454B90"/>
    <w:rsid w:val="00462092"/>
    <w:rsid w:val="00475DE4"/>
    <w:rsid w:val="004B2BE1"/>
    <w:rsid w:val="004B3A1B"/>
    <w:rsid w:val="004C0632"/>
    <w:rsid w:val="004D16FB"/>
    <w:rsid w:val="004F5015"/>
    <w:rsid w:val="0051216D"/>
    <w:rsid w:val="00513029"/>
    <w:rsid w:val="00536B8B"/>
    <w:rsid w:val="0054029F"/>
    <w:rsid w:val="00573EFF"/>
    <w:rsid w:val="00593309"/>
    <w:rsid w:val="00595C71"/>
    <w:rsid w:val="005A0C0E"/>
    <w:rsid w:val="005B4265"/>
    <w:rsid w:val="005D1AC9"/>
    <w:rsid w:val="005D6BA6"/>
    <w:rsid w:val="00600FAF"/>
    <w:rsid w:val="00617F0F"/>
    <w:rsid w:val="00634EC3"/>
    <w:rsid w:val="00643993"/>
    <w:rsid w:val="00647367"/>
    <w:rsid w:val="00666D0B"/>
    <w:rsid w:val="006673F2"/>
    <w:rsid w:val="006726FC"/>
    <w:rsid w:val="00684772"/>
    <w:rsid w:val="00694D10"/>
    <w:rsid w:val="006C3D9B"/>
    <w:rsid w:val="006C3EE4"/>
    <w:rsid w:val="006C6F12"/>
    <w:rsid w:val="006E2BED"/>
    <w:rsid w:val="006E5341"/>
    <w:rsid w:val="00705607"/>
    <w:rsid w:val="00720072"/>
    <w:rsid w:val="0075366D"/>
    <w:rsid w:val="00763A6C"/>
    <w:rsid w:val="0077315D"/>
    <w:rsid w:val="00782AAD"/>
    <w:rsid w:val="007B117A"/>
    <w:rsid w:val="007C4345"/>
    <w:rsid w:val="007F7CD8"/>
    <w:rsid w:val="00812439"/>
    <w:rsid w:val="00833AE7"/>
    <w:rsid w:val="008504A7"/>
    <w:rsid w:val="00854FB4"/>
    <w:rsid w:val="00874EF5"/>
    <w:rsid w:val="00892E16"/>
    <w:rsid w:val="008A39B4"/>
    <w:rsid w:val="008A5D25"/>
    <w:rsid w:val="008D46DF"/>
    <w:rsid w:val="008E4719"/>
    <w:rsid w:val="008F5DA2"/>
    <w:rsid w:val="0090424D"/>
    <w:rsid w:val="00904295"/>
    <w:rsid w:val="00904C36"/>
    <w:rsid w:val="009211F2"/>
    <w:rsid w:val="00922791"/>
    <w:rsid w:val="00933F00"/>
    <w:rsid w:val="009A2DA5"/>
    <w:rsid w:val="009A4378"/>
    <w:rsid w:val="009D7E46"/>
    <w:rsid w:val="009E369E"/>
    <w:rsid w:val="009E4739"/>
    <w:rsid w:val="00A13BF5"/>
    <w:rsid w:val="00A144E8"/>
    <w:rsid w:val="00A45693"/>
    <w:rsid w:val="00A45E75"/>
    <w:rsid w:val="00A5081A"/>
    <w:rsid w:val="00A714C7"/>
    <w:rsid w:val="00A75E5F"/>
    <w:rsid w:val="00A833EC"/>
    <w:rsid w:val="00A96106"/>
    <w:rsid w:val="00AB3925"/>
    <w:rsid w:val="00AC5F1E"/>
    <w:rsid w:val="00AD519D"/>
    <w:rsid w:val="00AE349D"/>
    <w:rsid w:val="00B016BD"/>
    <w:rsid w:val="00B0188C"/>
    <w:rsid w:val="00B01C82"/>
    <w:rsid w:val="00B0448F"/>
    <w:rsid w:val="00B05653"/>
    <w:rsid w:val="00B0627B"/>
    <w:rsid w:val="00B07091"/>
    <w:rsid w:val="00B11E36"/>
    <w:rsid w:val="00BA12A8"/>
    <w:rsid w:val="00BA7B12"/>
    <w:rsid w:val="00BC47CB"/>
    <w:rsid w:val="00BD3CD7"/>
    <w:rsid w:val="00BD5F52"/>
    <w:rsid w:val="00BE4697"/>
    <w:rsid w:val="00C13C26"/>
    <w:rsid w:val="00C35CAA"/>
    <w:rsid w:val="00C4350B"/>
    <w:rsid w:val="00C51279"/>
    <w:rsid w:val="00C85B3E"/>
    <w:rsid w:val="00CC438B"/>
    <w:rsid w:val="00CD22B0"/>
    <w:rsid w:val="00CD2B7F"/>
    <w:rsid w:val="00CE7996"/>
    <w:rsid w:val="00CF45AF"/>
    <w:rsid w:val="00D24D42"/>
    <w:rsid w:val="00D36E9D"/>
    <w:rsid w:val="00D46FD7"/>
    <w:rsid w:val="00DA442E"/>
    <w:rsid w:val="00DD1E67"/>
    <w:rsid w:val="00DE3CCD"/>
    <w:rsid w:val="00DF6D17"/>
    <w:rsid w:val="00DF7ED9"/>
    <w:rsid w:val="00E26E1B"/>
    <w:rsid w:val="00E36A52"/>
    <w:rsid w:val="00E45798"/>
    <w:rsid w:val="00E55477"/>
    <w:rsid w:val="00E64CD3"/>
    <w:rsid w:val="00E7521D"/>
    <w:rsid w:val="00E863E6"/>
    <w:rsid w:val="00E873BE"/>
    <w:rsid w:val="00E9688B"/>
    <w:rsid w:val="00E96E44"/>
    <w:rsid w:val="00EA1AB0"/>
    <w:rsid w:val="00EC034F"/>
    <w:rsid w:val="00EC3436"/>
    <w:rsid w:val="00EE560A"/>
    <w:rsid w:val="00EF736F"/>
    <w:rsid w:val="00F12026"/>
    <w:rsid w:val="00F12155"/>
    <w:rsid w:val="00F14F61"/>
    <w:rsid w:val="00F15C1D"/>
    <w:rsid w:val="00F323FE"/>
    <w:rsid w:val="00F4323E"/>
    <w:rsid w:val="00F53D4A"/>
    <w:rsid w:val="00FB7449"/>
    <w:rsid w:val="00FC6FD6"/>
    <w:rsid w:val="00FC7EB2"/>
    <w:rsid w:val="00FD25DA"/>
    <w:rsid w:val="00FD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AA5C5E"/>
  <w15:chartTrackingRefBased/>
  <w15:docId w15:val="{8116BD7E-D0A2-4EDD-A376-F7441F8B3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36F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rsid w:val="005D1AC9"/>
    <w:pPr>
      <w:keepNext/>
      <w:tabs>
        <w:tab w:val="left" w:pos="6840"/>
      </w:tabs>
      <w:spacing w:after="0" w:line="360" w:lineRule="auto"/>
      <w:jc w:val="both"/>
      <w:outlineLvl w:val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Ttulo2">
    <w:name w:val="heading 2"/>
    <w:basedOn w:val="Normal"/>
    <w:next w:val="Normal"/>
    <w:link w:val="Ttulo2Char"/>
    <w:qFormat/>
    <w:rsid w:val="005D1AC9"/>
    <w:pPr>
      <w:keepNext/>
      <w:spacing w:after="0" w:line="360" w:lineRule="auto"/>
      <w:jc w:val="both"/>
      <w:outlineLvl w:val="1"/>
    </w:pPr>
    <w:rPr>
      <w:rFonts w:ascii="Times New Roman" w:eastAsia="Times New Roman" w:hAnsi="Times New Roman"/>
      <w:sz w:val="24"/>
      <w:szCs w:val="24"/>
      <w:u w:val="single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5D1AC9"/>
    <w:pPr>
      <w:keepNext/>
      <w:spacing w:after="0" w:line="360" w:lineRule="auto"/>
      <w:outlineLvl w:val="2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2B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2BED"/>
  </w:style>
  <w:style w:type="paragraph" w:styleId="Rodap">
    <w:name w:val="footer"/>
    <w:basedOn w:val="Normal"/>
    <w:link w:val="RodapChar"/>
    <w:uiPriority w:val="99"/>
    <w:unhideWhenUsed/>
    <w:rsid w:val="006E2B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2BED"/>
  </w:style>
  <w:style w:type="paragraph" w:styleId="Textodebalo">
    <w:name w:val="Balloon Text"/>
    <w:basedOn w:val="Normal"/>
    <w:link w:val="TextodebaloChar"/>
    <w:uiPriority w:val="99"/>
    <w:semiHidden/>
    <w:unhideWhenUsed/>
    <w:rsid w:val="006E2BED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6E2BE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E2BE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semiHidden/>
    <w:rsid w:val="00EF736F"/>
    <w:pPr>
      <w:spacing w:after="0" w:line="240" w:lineRule="auto"/>
    </w:pPr>
    <w:rPr>
      <w:rFonts w:ascii="Arial" w:eastAsia="Times New Roman" w:hAnsi="Arial"/>
      <w:b/>
      <w:sz w:val="28"/>
      <w:szCs w:val="20"/>
      <w:lang w:val="x-none" w:eastAsia="pt-BR"/>
    </w:rPr>
  </w:style>
  <w:style w:type="character" w:customStyle="1" w:styleId="CorpodetextoChar">
    <w:name w:val="Corpo de texto Char"/>
    <w:link w:val="Corpodetexto"/>
    <w:semiHidden/>
    <w:rsid w:val="00EF736F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apple-converted-space">
    <w:name w:val="apple-converted-space"/>
    <w:rsid w:val="00CC438B"/>
  </w:style>
  <w:style w:type="character" w:styleId="Forte">
    <w:name w:val="Strong"/>
    <w:uiPriority w:val="22"/>
    <w:qFormat/>
    <w:rsid w:val="00CC438B"/>
    <w:rPr>
      <w:b/>
      <w:bCs/>
    </w:rPr>
  </w:style>
  <w:style w:type="paragraph" w:styleId="Corpodetexto2">
    <w:name w:val="Body Text 2"/>
    <w:basedOn w:val="Normal"/>
    <w:link w:val="Corpodetexto2Char"/>
    <w:uiPriority w:val="99"/>
    <w:unhideWhenUsed/>
    <w:rsid w:val="005D1AC9"/>
    <w:pPr>
      <w:spacing w:after="120" w:line="480" w:lineRule="auto"/>
    </w:pPr>
    <w:rPr>
      <w:lang w:val="x-none"/>
    </w:rPr>
  </w:style>
  <w:style w:type="character" w:customStyle="1" w:styleId="Corpodetexto2Char">
    <w:name w:val="Corpo de texto 2 Char"/>
    <w:link w:val="Corpodetexto2"/>
    <w:uiPriority w:val="99"/>
    <w:rsid w:val="005D1AC9"/>
    <w:rPr>
      <w:sz w:val="22"/>
      <w:szCs w:val="22"/>
      <w:lang w:eastAsia="en-US"/>
    </w:rPr>
  </w:style>
  <w:style w:type="character" w:customStyle="1" w:styleId="Ttulo1Char">
    <w:name w:val="Título 1 Char"/>
    <w:link w:val="Ttulo1"/>
    <w:rsid w:val="005D1AC9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Ttulo2Char">
    <w:name w:val="Título 2 Char"/>
    <w:link w:val="Ttulo2"/>
    <w:rsid w:val="005D1AC9"/>
    <w:rPr>
      <w:rFonts w:ascii="Times New Roman" w:eastAsia="Times New Roman" w:hAnsi="Times New Roman"/>
      <w:sz w:val="24"/>
      <w:szCs w:val="24"/>
      <w:u w:val="single"/>
    </w:rPr>
  </w:style>
  <w:style w:type="character" w:customStyle="1" w:styleId="Ttulo3Char">
    <w:name w:val="Título 3 Char"/>
    <w:link w:val="Ttulo3"/>
    <w:rsid w:val="005D1AC9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DecimalAligned">
    <w:name w:val="Decimal Aligned"/>
    <w:basedOn w:val="Normal"/>
    <w:uiPriority w:val="40"/>
    <w:qFormat/>
    <w:rsid w:val="005D1AC9"/>
    <w:pPr>
      <w:tabs>
        <w:tab w:val="decimal" w:pos="360"/>
      </w:tabs>
    </w:pPr>
    <w:rPr>
      <w:rFonts w:eastAsia="Times New Roman"/>
    </w:rPr>
  </w:style>
  <w:style w:type="paragraph" w:styleId="PargrafodaLista">
    <w:name w:val="List Paragraph"/>
    <w:basedOn w:val="Normal"/>
    <w:uiPriority w:val="34"/>
    <w:qFormat/>
    <w:rsid w:val="005D1AC9"/>
    <w:pPr>
      <w:widowControl w:val="0"/>
      <w:overflowPunct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/>
      <w:kern w:val="28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9A437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CD2B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link w:val="Pr-formataoHTML"/>
    <w:uiPriority w:val="99"/>
    <w:semiHidden/>
    <w:rsid w:val="00CD2B7F"/>
    <w:rPr>
      <w:rFonts w:ascii="Courier New" w:eastAsia="Times New Roman" w:hAnsi="Courier New" w:cs="Courier New"/>
    </w:rPr>
  </w:style>
  <w:style w:type="character" w:styleId="Hyperlink">
    <w:name w:val="Hyperlink"/>
    <w:uiPriority w:val="99"/>
    <w:unhideWhenUsed/>
    <w:rsid w:val="00812439"/>
    <w:rPr>
      <w:color w:val="0563C1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1D7A4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7A4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7A45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7A4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7A4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3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70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9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8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://www.inmetro.gov.br/inovacao/publicacoes/sistema_internacional_de_unidades_suplemento_2014-2016-Jan.pdf" TargetMode="Externa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microsoft.com/office/2016/09/relationships/commentsIds" Target="commentsIds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AA5D5E-AB4E-4AE9-A4D9-F1EB27C2B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6856</Words>
  <Characters>37024</Characters>
  <Application>Microsoft Office Word</Application>
  <DocSecurity>0</DocSecurity>
  <Lines>308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43793</CharactersWithSpaces>
  <SharedDoc>false</SharedDoc>
  <HLinks>
    <vt:vector size="6" baseType="variant">
      <vt:variant>
        <vt:i4>1310781</vt:i4>
      </vt:variant>
      <vt:variant>
        <vt:i4>3</vt:i4>
      </vt:variant>
      <vt:variant>
        <vt:i4>0</vt:i4>
      </vt:variant>
      <vt:variant>
        <vt:i4>5</vt:i4>
      </vt:variant>
      <vt:variant>
        <vt:lpwstr>http://www.inmetro.gov.br/inovacao/publicacoes/sistema_internacional_de_unidades_suplemento_2014-2016-Jan.pdf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Amanda Della Coletta</cp:lastModifiedBy>
  <cp:revision>2</cp:revision>
  <cp:lastPrinted>2017-02-02T14:04:00Z</cp:lastPrinted>
  <dcterms:created xsi:type="dcterms:W3CDTF">2020-09-07T22:47:00Z</dcterms:created>
  <dcterms:modified xsi:type="dcterms:W3CDTF">2020-09-07T22:47:00Z</dcterms:modified>
</cp:coreProperties>
</file>