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AEEFCB" w14:textId="77777777" w:rsidR="00253185" w:rsidRPr="007B117A" w:rsidRDefault="00253185" w:rsidP="00253185">
      <w:pPr>
        <w:spacing w:after="0" w:line="240" w:lineRule="auto"/>
        <w:rPr>
          <w:rFonts w:ascii="Times New Roman" w:hAnsi="Times New Roman"/>
          <w:color w:val="FF0000"/>
          <w:sz w:val="24"/>
          <w:szCs w:val="24"/>
        </w:rPr>
      </w:pPr>
    </w:p>
    <w:p w14:paraId="2432307D" w14:textId="77777777" w:rsidR="005D1AC9" w:rsidRPr="00A2216E" w:rsidRDefault="00981C90" w:rsidP="00811248">
      <w:pPr>
        <w:pStyle w:val="Corpodetexto"/>
        <w:jc w:val="center"/>
        <w:rPr>
          <w:rFonts w:ascii="Times New Roman" w:hAnsi="Times New Roman"/>
          <w:bCs/>
          <w:sz w:val="24"/>
          <w:szCs w:val="24"/>
        </w:rPr>
      </w:pPr>
      <w:r w:rsidRPr="00981C90">
        <w:rPr>
          <w:rFonts w:ascii="Times New Roman" w:hAnsi="Times New Roman"/>
          <w:bCs/>
          <w:sz w:val="24"/>
          <w:szCs w:val="24"/>
        </w:rPr>
        <w:t>PARALISIA FACIAL OCASIONADA PELA HERPES ZOSTER</w:t>
      </w:r>
      <w:r w:rsidR="00A2216E">
        <w:rPr>
          <w:rFonts w:ascii="Times New Roman" w:hAnsi="Times New Roman"/>
          <w:bCs/>
          <w:sz w:val="24"/>
          <w:szCs w:val="24"/>
        </w:rPr>
        <w:t>: REVISÃO DE LITERATURA</w:t>
      </w:r>
    </w:p>
    <w:p w14:paraId="347AFB0F" w14:textId="77777777" w:rsidR="00CD2B7F" w:rsidRPr="0073613E" w:rsidRDefault="00981C90" w:rsidP="0081124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Cs/>
          <w:i/>
          <w:sz w:val="24"/>
          <w:szCs w:val="24"/>
          <w:lang w:val="en-US" w:eastAsia="pt-BR"/>
        </w:rPr>
      </w:pPr>
      <w:r w:rsidRPr="00981C90">
        <w:rPr>
          <w:rFonts w:ascii="Times New Roman" w:hAnsi="Times New Roman"/>
          <w:bCs/>
          <w:i/>
          <w:sz w:val="24"/>
          <w:szCs w:val="24"/>
          <w:lang w:val="en-US"/>
        </w:rPr>
        <w:t>FACIAL PARALYSIS OCCASIONED BY HERPES ZOSTER</w:t>
      </w:r>
      <w:r w:rsidR="00A2216E">
        <w:rPr>
          <w:rFonts w:ascii="Times New Roman" w:hAnsi="Times New Roman"/>
          <w:bCs/>
          <w:i/>
          <w:sz w:val="24"/>
          <w:szCs w:val="24"/>
          <w:lang w:val="en-US"/>
        </w:rPr>
        <w:t xml:space="preserve">: </w:t>
      </w:r>
      <w:r w:rsidR="00A2216E" w:rsidRPr="00A2216E">
        <w:rPr>
          <w:rFonts w:ascii="Times New Roman" w:hAnsi="Times New Roman"/>
          <w:bCs/>
          <w:i/>
          <w:sz w:val="24"/>
          <w:szCs w:val="24"/>
          <w:lang w:val="en-US"/>
        </w:rPr>
        <w:t>LITERATURE REVIEW</w:t>
      </w:r>
    </w:p>
    <w:p w14:paraId="6CFE4B82" w14:textId="77777777" w:rsidR="005D1AC9" w:rsidRPr="00811248" w:rsidRDefault="005D1AC9" w:rsidP="00811248">
      <w:pPr>
        <w:spacing w:after="0" w:line="240" w:lineRule="auto"/>
        <w:rPr>
          <w:rFonts w:ascii="Times New Roman" w:hAnsi="Times New Roman"/>
          <w:color w:val="FF0000"/>
          <w:sz w:val="24"/>
          <w:szCs w:val="24"/>
          <w:lang w:val="en-US"/>
        </w:rPr>
      </w:pPr>
    </w:p>
    <w:p w14:paraId="72A3AAFE" w14:textId="77777777" w:rsidR="00CD2B7F" w:rsidRPr="00A2216E" w:rsidRDefault="004367F6" w:rsidP="00811248">
      <w:pPr>
        <w:spacing w:after="0" w:line="240" w:lineRule="auto"/>
        <w:jc w:val="center"/>
        <w:rPr>
          <w:rFonts w:ascii="Times New Roman" w:hAnsi="Times New Roman"/>
          <w:sz w:val="24"/>
          <w:szCs w:val="24"/>
          <w:vertAlign w:val="superscript"/>
        </w:rPr>
      </w:pPr>
      <w:r>
        <w:rPr>
          <w:rFonts w:ascii="Times New Roman" w:hAnsi="Times New Roman"/>
          <w:sz w:val="24"/>
          <w:szCs w:val="24"/>
        </w:rPr>
        <w:t>FERREIRA, Luana</w:t>
      </w:r>
      <w:r w:rsidR="00892E16" w:rsidRPr="00892E16">
        <w:rPr>
          <w:rFonts w:ascii="Times New Roman" w:hAnsi="Times New Roman"/>
          <w:sz w:val="24"/>
          <w:szCs w:val="24"/>
          <w:vertAlign w:val="superscript"/>
        </w:rPr>
        <w:t>1</w:t>
      </w:r>
      <w:r w:rsidR="00CD2B7F">
        <w:rPr>
          <w:rFonts w:ascii="Times New Roman" w:hAnsi="Times New Roman"/>
          <w:sz w:val="24"/>
          <w:szCs w:val="24"/>
        </w:rPr>
        <w:t xml:space="preserve">; </w:t>
      </w:r>
      <w:r w:rsidR="00370AEF">
        <w:rPr>
          <w:rFonts w:ascii="Times New Roman" w:hAnsi="Times New Roman"/>
          <w:sz w:val="24"/>
          <w:szCs w:val="24"/>
        </w:rPr>
        <w:t>MAHANA, Gláuci</w:t>
      </w:r>
      <w:r w:rsidR="00370AEF" w:rsidRPr="00370AEF">
        <w:rPr>
          <w:rFonts w:ascii="Times New Roman" w:hAnsi="Times New Roman"/>
          <w:sz w:val="24"/>
          <w:szCs w:val="24"/>
        </w:rPr>
        <w:t>a</w:t>
      </w:r>
      <w:r w:rsidR="002234B5">
        <w:rPr>
          <w:rFonts w:ascii="Times New Roman" w:hAnsi="Times New Roman"/>
          <w:sz w:val="24"/>
          <w:szCs w:val="24"/>
        </w:rPr>
        <w:t xml:space="preserve"> Dehn</w:t>
      </w:r>
      <w:r w:rsidR="002234B5" w:rsidRPr="00370AEF">
        <w:rPr>
          <w:rFonts w:ascii="Times New Roman" w:hAnsi="Times New Roman"/>
          <w:sz w:val="24"/>
          <w:szCs w:val="24"/>
          <w:vertAlign w:val="superscript"/>
        </w:rPr>
        <w:t>2</w:t>
      </w:r>
    </w:p>
    <w:p w14:paraId="0BE3BA5A" w14:textId="77777777" w:rsidR="00A2216E" w:rsidRDefault="00CD2B7F" w:rsidP="00A2216E">
      <w:pPr>
        <w:spacing w:after="0" w:line="240" w:lineRule="auto"/>
        <w:ind w:hanging="2"/>
        <w:jc w:val="center"/>
        <w:rPr>
          <w:rFonts w:ascii="Times New Roman" w:eastAsia="Times New Roman" w:hAnsi="Times New Roman"/>
          <w:sz w:val="24"/>
          <w:szCs w:val="24"/>
        </w:rPr>
      </w:pPr>
      <w:r w:rsidRPr="00CD2B7F">
        <w:rPr>
          <w:rFonts w:ascii="Times New Roman" w:hAnsi="Times New Roman"/>
          <w:sz w:val="24"/>
          <w:szCs w:val="24"/>
          <w:vertAlign w:val="superscript"/>
        </w:rPr>
        <w:t>1</w:t>
      </w:r>
      <w:r w:rsidR="004367F6">
        <w:rPr>
          <w:rFonts w:ascii="Times New Roman" w:hAnsi="Times New Roman"/>
          <w:sz w:val="24"/>
          <w:szCs w:val="24"/>
        </w:rPr>
        <w:t>Graduanda do Curso de Biomedici</w:t>
      </w:r>
      <w:r w:rsidR="00A2216E">
        <w:rPr>
          <w:rFonts w:ascii="Times New Roman" w:hAnsi="Times New Roman"/>
          <w:sz w:val="24"/>
          <w:szCs w:val="24"/>
        </w:rPr>
        <w:t xml:space="preserve">na – Universidade São Francisco; </w:t>
      </w:r>
      <w:r w:rsidR="00A2216E">
        <w:rPr>
          <w:rFonts w:ascii="Times New Roman" w:eastAsia="Times New Roman" w:hAnsi="Times New Roman"/>
          <w:sz w:val="24"/>
          <w:szCs w:val="24"/>
          <w:vertAlign w:val="superscript"/>
        </w:rPr>
        <w:t>2</w:t>
      </w:r>
      <w:r w:rsidR="00A2216E">
        <w:rPr>
          <w:rFonts w:ascii="Times New Roman" w:eastAsia="Times New Roman" w:hAnsi="Times New Roman"/>
          <w:sz w:val="24"/>
          <w:szCs w:val="24"/>
        </w:rPr>
        <w:t>Professor</w:t>
      </w:r>
      <w:r w:rsidR="00370AEF">
        <w:rPr>
          <w:rFonts w:ascii="Times New Roman" w:eastAsia="Times New Roman" w:hAnsi="Times New Roman"/>
          <w:sz w:val="24"/>
          <w:szCs w:val="24"/>
        </w:rPr>
        <w:t xml:space="preserve">a </w:t>
      </w:r>
      <w:r w:rsidR="00A2216E">
        <w:rPr>
          <w:rFonts w:ascii="Times New Roman" w:eastAsia="Times New Roman" w:hAnsi="Times New Roman"/>
          <w:sz w:val="24"/>
          <w:szCs w:val="24"/>
        </w:rPr>
        <w:t>do Curso Biomedicina – Universidade São Francisco.</w:t>
      </w:r>
    </w:p>
    <w:p w14:paraId="3A70CDB6" w14:textId="77777777" w:rsidR="005D1AC9" w:rsidRPr="004367F6" w:rsidRDefault="004367F6" w:rsidP="00811248">
      <w:pPr>
        <w:pStyle w:val="Corpodetexto"/>
        <w:jc w:val="center"/>
        <w:rPr>
          <w:rFonts w:ascii="Times New Roman" w:eastAsia="Courier New" w:hAnsi="Times New Roman"/>
          <w:sz w:val="24"/>
          <w:szCs w:val="24"/>
          <w:u w:val="single"/>
        </w:rPr>
      </w:pPr>
      <w:r>
        <w:rPr>
          <w:rFonts w:ascii="Times New Roman" w:hAnsi="Times New Roman"/>
          <w:sz w:val="24"/>
          <w:szCs w:val="24"/>
          <w:u w:val="single"/>
        </w:rPr>
        <w:t>luanacarlos@hotmail.com</w:t>
      </w:r>
    </w:p>
    <w:p w14:paraId="14908FBE" w14:textId="77777777" w:rsidR="005D1AC9" w:rsidRPr="007B117A" w:rsidRDefault="005D1AC9" w:rsidP="00811248">
      <w:pPr>
        <w:spacing w:after="0" w:line="240" w:lineRule="auto"/>
        <w:rPr>
          <w:rFonts w:ascii="Times New Roman" w:hAnsi="Times New Roman"/>
          <w:color w:val="FF0000"/>
          <w:sz w:val="24"/>
          <w:szCs w:val="24"/>
        </w:rPr>
      </w:pPr>
    </w:p>
    <w:p w14:paraId="08E73096" w14:textId="77777777" w:rsidR="00811248" w:rsidRDefault="00A5081A" w:rsidP="004512B1">
      <w:pPr>
        <w:pStyle w:val="SemEspaamento"/>
      </w:pPr>
      <w:r w:rsidRPr="00811248">
        <w:rPr>
          <w:b/>
          <w:bCs/>
        </w:rPr>
        <w:t>RESUMO</w:t>
      </w:r>
      <w:r w:rsidR="002A000A">
        <w:rPr>
          <w:b/>
          <w:bCs/>
        </w:rPr>
        <w:t xml:space="preserve">. </w:t>
      </w:r>
      <w:r w:rsidR="00545B68" w:rsidRPr="004512B1">
        <w:t xml:space="preserve">A síndrome de </w:t>
      </w:r>
      <w:proofErr w:type="spellStart"/>
      <w:r w:rsidR="00545B68" w:rsidRPr="004512B1">
        <w:t>Ramsay</w:t>
      </w:r>
      <w:proofErr w:type="spellEnd"/>
      <w:r w:rsidR="00545B68" w:rsidRPr="004512B1">
        <w:t xml:space="preserve"> Hunt, também conhecida como herpes-zoster </w:t>
      </w:r>
      <w:proofErr w:type="spellStart"/>
      <w:r w:rsidR="00545B68" w:rsidRPr="004512B1">
        <w:t>óticus</w:t>
      </w:r>
      <w:proofErr w:type="spellEnd"/>
      <w:r w:rsidR="00545B68" w:rsidRPr="004512B1">
        <w:t>, é um processo patológico</w:t>
      </w:r>
      <w:r w:rsidR="00545B68" w:rsidRPr="00811248">
        <w:t xml:space="preserve"> de natureza infecciosa, produzido por um vírus da família dos </w:t>
      </w:r>
      <w:proofErr w:type="spellStart"/>
      <w:r w:rsidR="00545B68" w:rsidRPr="00811248">
        <w:t>herpesviridae</w:t>
      </w:r>
      <w:proofErr w:type="spellEnd"/>
      <w:r w:rsidR="00545B68" w:rsidRPr="00811248">
        <w:t>, o vírus varicela-</w:t>
      </w:r>
      <w:proofErr w:type="spellStart"/>
      <w:r w:rsidR="00545B68" w:rsidRPr="00811248">
        <w:t>zóster</w:t>
      </w:r>
      <w:proofErr w:type="spellEnd"/>
      <w:r w:rsidR="00545B68" w:rsidRPr="00811248">
        <w:t xml:space="preserve">. A síndrome de </w:t>
      </w:r>
      <w:proofErr w:type="spellStart"/>
      <w:r w:rsidR="00545B68" w:rsidRPr="00811248">
        <w:t>Ramsay</w:t>
      </w:r>
      <w:proofErr w:type="spellEnd"/>
      <w:r w:rsidR="00545B68" w:rsidRPr="00811248">
        <w:t xml:space="preserve"> Hunt </w:t>
      </w:r>
      <w:r w:rsidR="00545B68" w:rsidRPr="00811248">
        <w:rPr>
          <w:i/>
          <w:iCs/>
        </w:rPr>
        <w:t>per se</w:t>
      </w:r>
      <w:r w:rsidR="00545B68" w:rsidRPr="00811248">
        <w:t xml:space="preserve"> implica em um prognóstico pior do que a paralisia facial periférica idiopática, e a maioria dos pacientes </w:t>
      </w:r>
      <w:r w:rsidR="00811248">
        <w:t xml:space="preserve">acabam com </w:t>
      </w:r>
      <w:r w:rsidR="005B1D30">
        <w:t>disfunções</w:t>
      </w:r>
      <w:r w:rsidR="00545B68" w:rsidRPr="00811248">
        <w:t xml:space="preserve"> mais ou menos gra</w:t>
      </w:r>
      <w:r w:rsidR="00811248">
        <w:t>ve. Portanto, o diagnóstico e tratamento precoce</w:t>
      </w:r>
      <w:r w:rsidR="00545B68" w:rsidRPr="00811248">
        <w:t xml:space="preserve"> são muito importantes para tentar acelerar a recuperação e prevenir possíveis complicações. O tratamento mais amplamente utilizado consiste em agentes antivirais e corticosteroides orais, embora o tratamento mais eficaz ainda seja debatido. </w:t>
      </w:r>
      <w:r w:rsidR="00981C90">
        <w:t xml:space="preserve">A partir disso, este artigo busca realizar uma revisão bibliográfica sobre o assunto, </w:t>
      </w:r>
      <w:r w:rsidR="00BA664F">
        <w:t xml:space="preserve">unificando e </w:t>
      </w:r>
      <w:r w:rsidR="00981C90">
        <w:t>detalhando</w:t>
      </w:r>
      <w:r w:rsidR="00BA664F">
        <w:t xml:space="preserve"> aspectos acerca da</w:t>
      </w:r>
      <w:r w:rsidR="00981C90">
        <w:t xml:space="preserve"> fisiopatologia,</w:t>
      </w:r>
      <w:r w:rsidR="00981C90" w:rsidRPr="00981C90">
        <w:t xml:space="preserve"> manifestações clínicas, diagnósticos diferenciais, </w:t>
      </w:r>
      <w:r w:rsidR="00E93D83" w:rsidRPr="00E93D83">
        <w:t>manejo e prognóstico dos pacientes, observando o que a literatura atual aborda sobre o assunt</w:t>
      </w:r>
      <w:r w:rsidR="000E69B6">
        <w:t>o.</w:t>
      </w:r>
    </w:p>
    <w:p w14:paraId="283FA5B0" w14:textId="77777777" w:rsidR="00E93D83" w:rsidRPr="00811248" w:rsidRDefault="00E93D83" w:rsidP="00E93D83">
      <w:pPr>
        <w:tabs>
          <w:tab w:val="left" w:pos="6840"/>
        </w:tabs>
        <w:spacing w:after="0" w:line="240" w:lineRule="auto"/>
        <w:jc w:val="both"/>
        <w:rPr>
          <w:rFonts w:ascii="Times New Roman" w:hAnsi="Times New Roman"/>
          <w:iCs/>
          <w:color w:val="000000"/>
          <w:sz w:val="24"/>
          <w:szCs w:val="24"/>
        </w:rPr>
      </w:pPr>
    </w:p>
    <w:p w14:paraId="2CC41772" w14:textId="77777777" w:rsidR="005D1AC9" w:rsidRPr="00811248" w:rsidRDefault="005D1AC9" w:rsidP="00811248">
      <w:pPr>
        <w:autoSpaceDE w:val="0"/>
        <w:autoSpaceDN w:val="0"/>
        <w:adjustRightInd w:val="0"/>
        <w:spacing w:after="0" w:line="240" w:lineRule="auto"/>
        <w:jc w:val="both"/>
        <w:rPr>
          <w:rFonts w:ascii="Times New Roman" w:hAnsi="Times New Roman"/>
          <w:color w:val="000000"/>
          <w:sz w:val="24"/>
          <w:szCs w:val="24"/>
        </w:rPr>
      </w:pPr>
      <w:r w:rsidRPr="00811248">
        <w:rPr>
          <w:rFonts w:ascii="Times New Roman" w:hAnsi="Times New Roman"/>
          <w:b/>
          <w:bCs/>
          <w:color w:val="000000"/>
          <w:sz w:val="24"/>
          <w:szCs w:val="24"/>
        </w:rPr>
        <w:t>Palavras-chave</w:t>
      </w:r>
      <w:r w:rsidR="00545B68" w:rsidRPr="00811248">
        <w:rPr>
          <w:rFonts w:ascii="Times New Roman" w:hAnsi="Times New Roman"/>
          <w:color w:val="000000"/>
          <w:sz w:val="24"/>
          <w:szCs w:val="24"/>
        </w:rPr>
        <w:t xml:space="preserve">: </w:t>
      </w:r>
      <w:r w:rsidR="00545B68" w:rsidRPr="00811248">
        <w:rPr>
          <w:rFonts w:ascii="Times New Roman" w:hAnsi="Times New Roman"/>
          <w:sz w:val="24"/>
          <w:szCs w:val="24"/>
        </w:rPr>
        <w:t xml:space="preserve">síndrome de </w:t>
      </w:r>
      <w:proofErr w:type="spellStart"/>
      <w:r w:rsidR="00545B68" w:rsidRPr="00811248">
        <w:rPr>
          <w:rFonts w:ascii="Times New Roman" w:hAnsi="Times New Roman"/>
          <w:sz w:val="24"/>
          <w:szCs w:val="24"/>
        </w:rPr>
        <w:t>Ramsay</w:t>
      </w:r>
      <w:proofErr w:type="spellEnd"/>
      <w:r w:rsidR="00545B68" w:rsidRPr="00811248">
        <w:rPr>
          <w:rFonts w:ascii="Times New Roman" w:hAnsi="Times New Roman"/>
          <w:sz w:val="24"/>
          <w:szCs w:val="24"/>
        </w:rPr>
        <w:t xml:space="preserve"> Hunt; herpes-zoster </w:t>
      </w:r>
      <w:proofErr w:type="spellStart"/>
      <w:r w:rsidR="00545B68" w:rsidRPr="00811248">
        <w:rPr>
          <w:rFonts w:ascii="Times New Roman" w:hAnsi="Times New Roman"/>
          <w:sz w:val="24"/>
          <w:szCs w:val="24"/>
        </w:rPr>
        <w:t>óticus</w:t>
      </w:r>
      <w:proofErr w:type="spellEnd"/>
      <w:r w:rsidR="00545B68" w:rsidRPr="00811248">
        <w:rPr>
          <w:rFonts w:ascii="Times New Roman" w:hAnsi="Times New Roman"/>
          <w:sz w:val="24"/>
          <w:szCs w:val="24"/>
        </w:rPr>
        <w:t>; varicela-</w:t>
      </w:r>
      <w:proofErr w:type="spellStart"/>
      <w:r w:rsidR="00545B68" w:rsidRPr="00811248">
        <w:rPr>
          <w:rFonts w:ascii="Times New Roman" w:hAnsi="Times New Roman"/>
          <w:sz w:val="24"/>
          <w:szCs w:val="24"/>
        </w:rPr>
        <w:t>zóster</w:t>
      </w:r>
      <w:proofErr w:type="spellEnd"/>
      <w:r w:rsidR="00981C90">
        <w:rPr>
          <w:rFonts w:ascii="Times New Roman" w:hAnsi="Times New Roman"/>
          <w:sz w:val="24"/>
          <w:szCs w:val="24"/>
        </w:rPr>
        <w:t>.</w:t>
      </w:r>
    </w:p>
    <w:p w14:paraId="79C44754" w14:textId="77777777" w:rsidR="00545B68" w:rsidRPr="00811248" w:rsidRDefault="00545B68" w:rsidP="00811248">
      <w:pPr>
        <w:tabs>
          <w:tab w:val="left" w:pos="6840"/>
        </w:tabs>
        <w:spacing w:after="0" w:line="240" w:lineRule="auto"/>
        <w:jc w:val="both"/>
        <w:rPr>
          <w:rFonts w:ascii="Times New Roman" w:hAnsi="Times New Roman"/>
          <w:color w:val="FF0000"/>
          <w:sz w:val="24"/>
          <w:szCs w:val="24"/>
        </w:rPr>
      </w:pPr>
    </w:p>
    <w:p w14:paraId="79F15653" w14:textId="77777777" w:rsidR="003D09E8" w:rsidRPr="00C102F7" w:rsidRDefault="00A5081A" w:rsidP="00D41B24">
      <w:pPr>
        <w:pStyle w:val="SemEspaamento"/>
        <w:rPr>
          <w:color w:val="FFFFFF" w:themeColor="background1"/>
          <w:lang w:val="en-US"/>
        </w:rPr>
      </w:pPr>
      <w:r w:rsidRPr="00811248">
        <w:rPr>
          <w:b/>
          <w:bCs/>
          <w:lang w:val="en-US"/>
        </w:rPr>
        <w:t>ABSTRACT</w:t>
      </w:r>
      <w:r w:rsidR="002A000A">
        <w:rPr>
          <w:b/>
          <w:bCs/>
          <w:lang w:val="en-US"/>
        </w:rPr>
        <w:t xml:space="preserve">. </w:t>
      </w:r>
      <w:r w:rsidR="009F5ADB" w:rsidRPr="009F5ADB">
        <w:rPr>
          <w:lang w:val="en-US"/>
        </w:rPr>
        <w:t xml:space="preserve">Ramsay Hunt syndrome, also known as shingles, is a pathological process of an infectious nature, produced by a virus of the </w:t>
      </w:r>
      <w:proofErr w:type="spellStart"/>
      <w:r w:rsidR="009F5ADB" w:rsidRPr="009F5ADB">
        <w:rPr>
          <w:lang w:val="en-US"/>
        </w:rPr>
        <w:t>herpesviridae</w:t>
      </w:r>
      <w:proofErr w:type="spellEnd"/>
      <w:r w:rsidR="009F5ADB" w:rsidRPr="009F5ADB">
        <w:rPr>
          <w:lang w:val="en-US"/>
        </w:rPr>
        <w:t xml:space="preserve"> family, the varicella-zoster virus. Ramsay Hunt syndrome per se implies a worse prognosis than idiopathic peripheral facial paralysis, and most patients end up with more or less severe dysfunctions. Therefore, early diagnosis and treatment are very important to try to accelerate recovery and prevent possible complications. The most widely used treatment consists of antiviral agents and oral corticosteroids, although the most effective treatment is still debated. Based on this, this article seeks to carry out a bibliographic review on the subject, unifying and detailing aspects about the pathophysiology, clinical manifestations, differential diagnoses, management and prognosis of patients, also contributing to the current literature</w:t>
      </w:r>
      <w:r w:rsidR="0073613E">
        <w:rPr>
          <w:lang w:val="en-US"/>
        </w:rPr>
        <w:t>.</w:t>
      </w:r>
    </w:p>
    <w:p w14:paraId="3A89B540" w14:textId="77777777" w:rsidR="009F5ADB" w:rsidRPr="00811248" w:rsidRDefault="009F5ADB" w:rsidP="009F5ADB">
      <w:pPr>
        <w:tabs>
          <w:tab w:val="left" w:pos="567"/>
          <w:tab w:val="left" w:pos="6840"/>
        </w:tabs>
        <w:spacing w:after="0" w:line="240" w:lineRule="auto"/>
        <w:jc w:val="both"/>
        <w:rPr>
          <w:rFonts w:ascii="Times New Roman" w:hAnsi="Times New Roman"/>
          <w:b/>
          <w:bCs/>
          <w:color w:val="000000"/>
          <w:sz w:val="24"/>
          <w:szCs w:val="24"/>
          <w:lang w:val="en-US"/>
        </w:rPr>
      </w:pPr>
    </w:p>
    <w:p w14:paraId="4FFB1EE8" w14:textId="77777777" w:rsidR="0075366D" w:rsidRPr="00811248" w:rsidRDefault="00782AAD" w:rsidP="00811248">
      <w:pPr>
        <w:autoSpaceDE w:val="0"/>
        <w:autoSpaceDN w:val="0"/>
        <w:adjustRightInd w:val="0"/>
        <w:spacing w:after="0" w:line="240" w:lineRule="auto"/>
        <w:jc w:val="both"/>
        <w:rPr>
          <w:rFonts w:ascii="Times New Roman" w:hAnsi="Times New Roman"/>
          <w:color w:val="FF0000"/>
          <w:sz w:val="24"/>
          <w:szCs w:val="24"/>
          <w:lang w:val="en-US"/>
        </w:rPr>
      </w:pPr>
      <w:proofErr w:type="spellStart"/>
      <w:proofErr w:type="gramStart"/>
      <w:r w:rsidRPr="00811248">
        <w:rPr>
          <w:rFonts w:ascii="Times New Roman" w:hAnsi="Times New Roman"/>
          <w:b/>
          <w:bCs/>
          <w:color w:val="000000"/>
          <w:sz w:val="24"/>
          <w:szCs w:val="24"/>
          <w:lang w:val="en-US"/>
        </w:rPr>
        <w:t>Keywords</w:t>
      </w:r>
      <w:r w:rsidR="00545B68" w:rsidRPr="00811248">
        <w:rPr>
          <w:rFonts w:ascii="Times New Roman" w:hAnsi="Times New Roman"/>
          <w:color w:val="000000"/>
          <w:sz w:val="24"/>
          <w:szCs w:val="24"/>
          <w:lang w:val="en-US"/>
        </w:rPr>
        <w:t>:Ramsay</w:t>
      </w:r>
      <w:proofErr w:type="spellEnd"/>
      <w:proofErr w:type="gramEnd"/>
      <w:r w:rsidR="00545B68" w:rsidRPr="00811248">
        <w:rPr>
          <w:rFonts w:ascii="Times New Roman" w:hAnsi="Times New Roman"/>
          <w:color w:val="000000"/>
          <w:sz w:val="24"/>
          <w:szCs w:val="24"/>
          <w:lang w:val="en-US"/>
        </w:rPr>
        <w:t xml:space="preserve"> Hunt syndrome; shingles herpes zoster; varicella zoster</w:t>
      </w:r>
      <w:r w:rsidR="00811248">
        <w:rPr>
          <w:rFonts w:ascii="Times New Roman" w:hAnsi="Times New Roman"/>
          <w:iCs/>
          <w:color w:val="000000"/>
          <w:sz w:val="24"/>
          <w:szCs w:val="24"/>
          <w:lang w:val="en-US"/>
        </w:rPr>
        <w:t>.</w:t>
      </w:r>
    </w:p>
    <w:p w14:paraId="6FDD8F22" w14:textId="77777777" w:rsidR="003D09E8" w:rsidRPr="00811248" w:rsidRDefault="003D09E8" w:rsidP="00811248">
      <w:pPr>
        <w:autoSpaceDE w:val="0"/>
        <w:autoSpaceDN w:val="0"/>
        <w:adjustRightInd w:val="0"/>
        <w:spacing w:after="0" w:line="240" w:lineRule="auto"/>
        <w:jc w:val="both"/>
        <w:rPr>
          <w:rFonts w:ascii="Times New Roman" w:hAnsi="Times New Roman"/>
          <w:sz w:val="24"/>
          <w:szCs w:val="24"/>
          <w:lang w:val="en-US"/>
        </w:rPr>
      </w:pPr>
    </w:p>
    <w:p w14:paraId="21C8F7ED" w14:textId="77777777" w:rsidR="005D1AC9" w:rsidRPr="007B117A" w:rsidRDefault="00A5081A" w:rsidP="00811248">
      <w:pPr>
        <w:pStyle w:val="Ttulo1"/>
        <w:spacing w:line="240" w:lineRule="auto"/>
      </w:pPr>
      <w:r w:rsidRPr="007B117A">
        <w:t>INTRODUÇÃO</w:t>
      </w:r>
    </w:p>
    <w:p w14:paraId="35DBFA38" w14:textId="77777777" w:rsidR="000C2B72" w:rsidRDefault="000C2B72" w:rsidP="000C2B72">
      <w:pPr>
        <w:pStyle w:val="SemEspaamento"/>
      </w:pPr>
      <w:r>
        <w:tab/>
      </w:r>
    </w:p>
    <w:p w14:paraId="531AF5E2" w14:textId="77777777" w:rsidR="000C2B72" w:rsidRDefault="000C2B72" w:rsidP="000C2B72">
      <w:pPr>
        <w:pStyle w:val="SemEspaamento"/>
      </w:pPr>
      <w:r>
        <w:tab/>
        <w:t>As paralisias faciais periféricas são comumente caracterizadas pelo acometimento nervoso do VII par craniano (nervo facial, motor e sensitivo</w:t>
      </w:r>
      <w:r w:rsidR="00EE0C78">
        <w:t xml:space="preserve"> que inerva face e pescoço</w:t>
      </w:r>
      <w:r>
        <w:t>)</w:t>
      </w:r>
      <w:r w:rsidR="00D425E7">
        <w:t>, como mostra na Figura 1</w:t>
      </w:r>
      <w:r>
        <w:t>, a</w:t>
      </w:r>
      <w:r w:rsidR="000E69B6">
        <w:t xml:space="preserve">s quais ocasionam </w:t>
      </w:r>
      <w:r w:rsidR="00AD30D4">
        <w:t>d</w:t>
      </w:r>
      <w:r>
        <w:t xml:space="preserve">isfunções musculares nos músculos </w:t>
      </w:r>
      <w:r w:rsidR="00EE0C78">
        <w:t xml:space="preserve">por ele </w:t>
      </w:r>
      <w:r>
        <w:t xml:space="preserve">inervados, no caso em: frontal, orbicular do olho e elevador da sobrancelha, </w:t>
      </w:r>
      <w:proofErr w:type="spellStart"/>
      <w:r w:rsidRPr="000C2B72">
        <w:t>estapédio</w:t>
      </w:r>
      <w:proofErr w:type="spellEnd"/>
      <w:r w:rsidRPr="000C2B72">
        <w:t xml:space="preserve">, </w:t>
      </w:r>
      <w:proofErr w:type="spellStart"/>
      <w:r w:rsidRPr="000C2B72">
        <w:t>platisma</w:t>
      </w:r>
      <w:proofErr w:type="spellEnd"/>
      <w:r w:rsidRPr="000C2B72">
        <w:t xml:space="preserve"> e músculos orbicular dos </w:t>
      </w:r>
      <w:r w:rsidR="0019621A">
        <w:t>l</w:t>
      </w:r>
      <w:r w:rsidRPr="000C2B72">
        <w:t xml:space="preserve">ábios e </w:t>
      </w:r>
      <w:proofErr w:type="spellStart"/>
      <w:r w:rsidRPr="000C2B72">
        <w:t>bucinador</w:t>
      </w:r>
      <w:proofErr w:type="spellEnd"/>
      <w:r w:rsidR="0019621A">
        <w:t xml:space="preserve">. Elas podem </w:t>
      </w:r>
      <w:r>
        <w:t xml:space="preserve">ser causadas por vários motivos, incluindo: anormalidades congênitas, pós-traumáticas, infecções do ouvido médio, tumores ósseos glândula temporal ou parótida ou infecções virais por Herpes Simplex tipo 1, Epstein </w:t>
      </w:r>
      <w:proofErr w:type="spellStart"/>
      <w:r>
        <w:t>Barr</w:t>
      </w:r>
      <w:proofErr w:type="spellEnd"/>
      <w:r>
        <w:t xml:space="preserve">, </w:t>
      </w:r>
      <w:r>
        <w:lastRenderedPageBreak/>
        <w:t>Citomegalovírus, Herpes humano tipo 6 e 7 e sarampo ou como manifestação primária de infecções b</w:t>
      </w:r>
      <w:r w:rsidR="00EE0C78">
        <w:t xml:space="preserve">actérias como a doença de </w:t>
      </w:r>
      <w:proofErr w:type="spellStart"/>
      <w:r w:rsidR="00EE0C78">
        <w:t>Lyme</w:t>
      </w:r>
      <w:proofErr w:type="spellEnd"/>
      <w:r w:rsidR="00EE0C78">
        <w:t xml:space="preserve"> (</w:t>
      </w:r>
      <w:r w:rsidR="00A805BB">
        <w:t>OLIVEIRA</w:t>
      </w:r>
      <w:r w:rsidR="00EE0C78">
        <w:t xml:space="preserve">; COSTA; FLORENTINO, </w:t>
      </w:r>
      <w:r w:rsidR="00EE0C78" w:rsidRPr="00EE0C78">
        <w:t>2017)</w:t>
      </w:r>
      <w:r w:rsidR="00402CFE">
        <w:t>.</w:t>
      </w:r>
    </w:p>
    <w:p w14:paraId="4C57BA24" w14:textId="77777777" w:rsidR="000630A1" w:rsidRDefault="000630A1" w:rsidP="000C2B72">
      <w:pPr>
        <w:pStyle w:val="SemEspaamento"/>
      </w:pPr>
    </w:p>
    <w:p w14:paraId="5C8CC527" w14:textId="77777777" w:rsidR="000630A1" w:rsidRDefault="00040EC7" w:rsidP="000C2B72">
      <w:pPr>
        <w:pStyle w:val="SemEspaamento"/>
      </w:pPr>
      <w:r w:rsidRPr="00040EC7">
        <w:rPr>
          <w:noProof/>
        </w:rPr>
        <w:drawing>
          <wp:inline distT="0" distB="0" distL="0" distR="0" wp14:anchorId="3CB32C61" wp14:editId="680B2471">
            <wp:extent cx="6073796" cy="4362450"/>
            <wp:effectExtent l="0" t="0" r="317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74958" cy="4363285"/>
                    </a:xfrm>
                    <a:prstGeom prst="rect">
                      <a:avLst/>
                    </a:prstGeom>
                  </pic:spPr>
                </pic:pic>
              </a:graphicData>
            </a:graphic>
          </wp:inline>
        </w:drawing>
      </w:r>
    </w:p>
    <w:p w14:paraId="1F744D59" w14:textId="77777777" w:rsidR="00FE5411" w:rsidRDefault="00FE5411" w:rsidP="00040EC7">
      <w:pPr>
        <w:pStyle w:val="SemEspaamento"/>
      </w:pPr>
    </w:p>
    <w:p w14:paraId="4BC8238D" w14:textId="2F5CC523" w:rsidR="00040EC7" w:rsidRDefault="00040EC7" w:rsidP="00040EC7">
      <w:pPr>
        <w:pStyle w:val="SemEspaamento"/>
      </w:pPr>
      <w:r w:rsidRPr="00747291">
        <w:rPr>
          <w:b/>
          <w:bCs/>
        </w:rPr>
        <w:t>Figura 1:</w:t>
      </w:r>
      <w:r>
        <w:t xml:space="preserve"> Resumo dos nervos cranianos.</w:t>
      </w:r>
      <w:r w:rsidR="00AD30D4">
        <w:t xml:space="preserve"> </w:t>
      </w:r>
      <w:r w:rsidR="00FE6D0E" w:rsidRPr="00DD5396">
        <w:t>(</w:t>
      </w:r>
      <w:commentRangeStart w:id="0"/>
      <w:r w:rsidR="00FE6D0E" w:rsidRPr="00DD5396">
        <w:t>NETTER</w:t>
      </w:r>
      <w:commentRangeEnd w:id="0"/>
      <w:r w:rsidR="00747291">
        <w:rPr>
          <w:rStyle w:val="Refdecomentrio"/>
          <w:rFonts w:ascii="Calibri" w:eastAsia="Calibri" w:hAnsi="Calibri" w:cs="Times New Roman"/>
          <w:lang w:eastAsia="en-US"/>
        </w:rPr>
        <w:commentReference w:id="0"/>
      </w:r>
      <w:r w:rsidR="00FE6D0E" w:rsidRPr="00DD5396">
        <w:t xml:space="preserve">, Frank </w:t>
      </w:r>
      <w:proofErr w:type="gramStart"/>
      <w:r w:rsidR="00FE6D0E" w:rsidRPr="00DD5396">
        <w:t>H.</w:t>
      </w:r>
      <w:r w:rsidR="00747291">
        <w:t>.</w:t>
      </w:r>
      <w:proofErr w:type="gramEnd"/>
      <w:r w:rsidR="00FE6D0E" w:rsidRPr="00DD5396">
        <w:t xml:space="preserve"> Atlas de Anatomia Humana. 2ed. Porto Alegre: Artmed, 2000)</w:t>
      </w:r>
      <w:r w:rsidR="00AD30D4">
        <w:t>.</w:t>
      </w:r>
    </w:p>
    <w:p w14:paraId="5808B85B" w14:textId="77777777" w:rsidR="00040EC7" w:rsidRDefault="00040EC7" w:rsidP="000C2B72">
      <w:pPr>
        <w:pStyle w:val="SemEspaamento"/>
      </w:pPr>
    </w:p>
    <w:p w14:paraId="6195569F" w14:textId="683A8EA2" w:rsidR="00A57F89" w:rsidRDefault="000C2B72" w:rsidP="00811248">
      <w:pPr>
        <w:pStyle w:val="SemEspaamento"/>
      </w:pPr>
      <w:r>
        <w:tab/>
      </w:r>
      <w:r w:rsidR="00AE21D1" w:rsidRPr="00AC30DE">
        <w:t xml:space="preserve">A Síndrome de </w:t>
      </w:r>
      <w:proofErr w:type="spellStart"/>
      <w:r w:rsidR="00AE21D1" w:rsidRPr="00AC30DE">
        <w:t>Ramsay</w:t>
      </w:r>
      <w:proofErr w:type="spellEnd"/>
      <w:r w:rsidR="00AE21D1" w:rsidRPr="00AC30DE">
        <w:t xml:space="preserve"> Hunt</w:t>
      </w:r>
      <w:r w:rsidR="004008BA">
        <w:t xml:space="preserve">, </w:t>
      </w:r>
      <w:r w:rsidR="004008BA" w:rsidRPr="00DD5396">
        <w:t xml:space="preserve">também conhecida como herpes-zoster </w:t>
      </w:r>
      <w:proofErr w:type="spellStart"/>
      <w:r w:rsidR="004008BA" w:rsidRPr="00DD5396">
        <w:t>óticus</w:t>
      </w:r>
      <w:proofErr w:type="spellEnd"/>
      <w:r w:rsidR="00AE21D1" w:rsidRPr="00AC30DE">
        <w:t xml:space="preserve"> surgiu pela primeira vez em 1907, quando James </w:t>
      </w:r>
      <w:proofErr w:type="spellStart"/>
      <w:r w:rsidR="00AE21D1" w:rsidRPr="00AC30DE">
        <w:t>Ramsay</w:t>
      </w:r>
      <w:proofErr w:type="spellEnd"/>
      <w:r w:rsidR="00AE21D1" w:rsidRPr="00AC30DE">
        <w:t xml:space="preserve"> Hunt descreveu uma série de casos</w:t>
      </w:r>
      <w:r w:rsidR="00725483">
        <w:t>,</w:t>
      </w:r>
      <w:r w:rsidR="00AE21D1" w:rsidRPr="00AC30DE">
        <w:t xml:space="preserve"> apresentando sinais de vesículas eritematosas na região da orelha</w:t>
      </w:r>
      <w:r w:rsidR="00825AE5">
        <w:t>,</w:t>
      </w:r>
      <w:r w:rsidR="00747291">
        <w:t xml:space="preserve"> </w:t>
      </w:r>
      <w:r w:rsidR="00D425E7">
        <w:t xml:space="preserve">como mostra na Figura 2, </w:t>
      </w:r>
      <w:r w:rsidR="00AE21D1" w:rsidRPr="00AC30DE">
        <w:t xml:space="preserve">e mucosa oral associada a uma reativação viral. Sendo uma doença infecciosa a síndrome de </w:t>
      </w:r>
      <w:proofErr w:type="spellStart"/>
      <w:r w:rsidR="00AE21D1" w:rsidRPr="00AC30DE">
        <w:t>Ramsay</w:t>
      </w:r>
      <w:proofErr w:type="spellEnd"/>
      <w:r w:rsidR="00AE21D1" w:rsidRPr="00AC30DE">
        <w:t xml:space="preserve"> Hunt, se desenvolve como consequência da reativação latente pelo vírus varicela zoster no gânglio </w:t>
      </w:r>
      <w:r w:rsidR="00AC30DE">
        <w:t>geniculado</w:t>
      </w:r>
      <w:r w:rsidR="00B8175B">
        <w:t xml:space="preserve"> </w:t>
      </w:r>
      <w:r w:rsidR="000E69B6">
        <w:t>(</w:t>
      </w:r>
      <w:r w:rsidR="00183B16">
        <w:t>BE</w:t>
      </w:r>
      <w:r w:rsidR="000E69B6">
        <w:t>RALDIN et al</w:t>
      </w:r>
      <w:r w:rsidR="00B8175B">
        <w:t>.</w:t>
      </w:r>
      <w:r w:rsidR="000E69B6">
        <w:t>, 2008).</w:t>
      </w:r>
    </w:p>
    <w:p w14:paraId="3928EA41" w14:textId="77777777" w:rsidR="00065401" w:rsidRDefault="00065401" w:rsidP="00811248">
      <w:pPr>
        <w:pStyle w:val="SemEspaamento"/>
      </w:pPr>
    </w:p>
    <w:p w14:paraId="71AF86F1" w14:textId="77777777" w:rsidR="00065401" w:rsidRDefault="00065401" w:rsidP="00D64791">
      <w:pPr>
        <w:pStyle w:val="SemEspaamento"/>
        <w:jc w:val="center"/>
      </w:pPr>
      <w:r w:rsidRPr="00065401">
        <w:rPr>
          <w:noProof/>
        </w:rPr>
        <w:lastRenderedPageBreak/>
        <w:drawing>
          <wp:inline distT="0" distB="0" distL="0" distR="0" wp14:anchorId="48EF9329" wp14:editId="524A1210">
            <wp:extent cx="3800475" cy="3301567"/>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831578" cy="3328587"/>
                    </a:xfrm>
                    <a:prstGeom prst="rect">
                      <a:avLst/>
                    </a:prstGeom>
                  </pic:spPr>
                </pic:pic>
              </a:graphicData>
            </a:graphic>
          </wp:inline>
        </w:drawing>
      </w:r>
    </w:p>
    <w:p w14:paraId="75D8C8C1" w14:textId="77777777" w:rsidR="002A20EE" w:rsidRDefault="00D425E7" w:rsidP="002A20EE">
      <w:pPr>
        <w:pStyle w:val="SemEspaamento"/>
      </w:pPr>
      <w:r w:rsidRPr="00D64791">
        <w:rPr>
          <w:b/>
          <w:bCs/>
        </w:rPr>
        <w:t xml:space="preserve">Figura 2: </w:t>
      </w:r>
      <w:r>
        <w:t xml:space="preserve">Vesícula </w:t>
      </w:r>
      <w:r w:rsidRPr="00AC30DE">
        <w:t>eritematosa</w:t>
      </w:r>
      <w:r>
        <w:t xml:space="preserve"> na região da orelha</w:t>
      </w:r>
      <w:r w:rsidR="00B8175B">
        <w:t xml:space="preserve"> </w:t>
      </w:r>
      <w:r w:rsidR="002A20EE">
        <w:t>(</w:t>
      </w:r>
      <w:commentRangeStart w:id="1"/>
      <w:r w:rsidR="00183B16">
        <w:t>B</w:t>
      </w:r>
      <w:r w:rsidR="002A20EE">
        <w:t>ERALDIN</w:t>
      </w:r>
      <w:commentRangeEnd w:id="1"/>
      <w:r w:rsidR="00747291">
        <w:rPr>
          <w:rStyle w:val="Refdecomentrio"/>
          <w:rFonts w:ascii="Calibri" w:eastAsia="Calibri" w:hAnsi="Calibri" w:cs="Times New Roman"/>
          <w:lang w:eastAsia="en-US"/>
        </w:rPr>
        <w:commentReference w:id="1"/>
      </w:r>
      <w:r w:rsidR="002A20EE">
        <w:t xml:space="preserve"> et al</w:t>
      </w:r>
      <w:r w:rsidR="00B8175B">
        <w:t>.</w:t>
      </w:r>
      <w:r w:rsidR="002A20EE">
        <w:t>, 2008).</w:t>
      </w:r>
    </w:p>
    <w:p w14:paraId="189A8209" w14:textId="77777777" w:rsidR="00D425E7" w:rsidRDefault="00D425E7" w:rsidP="00811248">
      <w:pPr>
        <w:pStyle w:val="SemEspaamento"/>
      </w:pPr>
    </w:p>
    <w:p w14:paraId="7A7B58BA" w14:textId="32CC8AC6" w:rsidR="006B7F67" w:rsidRDefault="00747291" w:rsidP="00981C90">
      <w:pPr>
        <w:pStyle w:val="SemEspaamento"/>
        <w:rPr>
          <w:rFonts w:eastAsia="Calibri"/>
          <w:lang w:eastAsia="en-US"/>
        </w:rPr>
      </w:pPr>
      <w:r>
        <w:tab/>
      </w:r>
      <w:r w:rsidR="00890306" w:rsidRPr="00AC30DE">
        <w:t>Caracterizado como otalgia e paralisia facial periférica</w:t>
      </w:r>
      <w:r>
        <w:t>,</w:t>
      </w:r>
      <w:r w:rsidR="00890306" w:rsidRPr="00AC30DE">
        <w:t xml:space="preserve"> sua aparência é notória na </w:t>
      </w:r>
      <w:r w:rsidR="00864EA1" w:rsidRPr="00AC30DE">
        <w:t>região</w:t>
      </w:r>
      <w:r>
        <w:t xml:space="preserve"> </w:t>
      </w:r>
      <w:r w:rsidR="00864EA1" w:rsidRPr="00AC30DE">
        <w:t>auricular</w:t>
      </w:r>
      <w:r w:rsidR="00890306" w:rsidRPr="00AC30DE">
        <w:t xml:space="preserve"> e </w:t>
      </w:r>
      <w:r w:rsidR="00864EA1" w:rsidRPr="00AC30DE">
        <w:t>facial</w:t>
      </w:r>
      <w:r w:rsidR="00890306" w:rsidRPr="00AC30DE">
        <w:t>, tendo sua evolução mais</w:t>
      </w:r>
      <w:r w:rsidR="00981C90">
        <w:t xml:space="preserve"> severa que a paralisia de Bell</w:t>
      </w:r>
      <w:r w:rsidR="004B7F60">
        <w:t xml:space="preserve"> (fraqueza súbita acometendo um lado da face, geralmente por infecção viral)</w:t>
      </w:r>
      <w:r w:rsidR="00981C90">
        <w:t xml:space="preserve">, sendo a </w:t>
      </w:r>
      <w:r w:rsidR="00864EA1" w:rsidRPr="00AC30DE">
        <w:rPr>
          <w:rFonts w:eastAsia="Calibri"/>
          <w:lang w:eastAsia="en-US"/>
        </w:rPr>
        <w:t>segunda causa principal d</w:t>
      </w:r>
      <w:r w:rsidR="004272D3">
        <w:rPr>
          <w:rFonts w:eastAsia="Calibri"/>
          <w:lang w:eastAsia="en-US"/>
        </w:rPr>
        <w:t>e paralisia facial traumática</w:t>
      </w:r>
      <w:r w:rsidR="00981C90">
        <w:rPr>
          <w:rFonts w:eastAsia="Calibri"/>
          <w:lang w:eastAsia="en-US"/>
        </w:rPr>
        <w:t xml:space="preserve"> e</w:t>
      </w:r>
      <w:r w:rsidR="004272D3">
        <w:rPr>
          <w:rFonts w:eastAsia="Calibri"/>
          <w:lang w:eastAsia="en-US"/>
        </w:rPr>
        <w:t>,</w:t>
      </w:r>
      <w:r w:rsidR="00981C90">
        <w:rPr>
          <w:rFonts w:eastAsia="Calibri"/>
          <w:lang w:eastAsia="en-US"/>
        </w:rPr>
        <w:t xml:space="preserve"> também acredita-se</w:t>
      </w:r>
      <w:r w:rsidR="004272D3">
        <w:rPr>
          <w:rFonts w:eastAsia="Calibri"/>
          <w:lang w:eastAsia="en-US"/>
        </w:rPr>
        <w:t>,</w:t>
      </w:r>
      <w:r w:rsidR="00864EA1" w:rsidRPr="00AC30DE">
        <w:rPr>
          <w:rFonts w:eastAsia="Calibri"/>
          <w:lang w:eastAsia="en-US"/>
        </w:rPr>
        <w:t xml:space="preserve"> que sua incidência aumenta com a idade, sem predileção por gênero (</w:t>
      </w:r>
      <w:r w:rsidR="005A53D4">
        <w:rPr>
          <w:rFonts w:eastAsia="Calibri"/>
          <w:lang w:eastAsia="en-US"/>
        </w:rPr>
        <w:t>CARRIÇO; 2012</w:t>
      </w:r>
      <w:r w:rsidR="000E69B6">
        <w:rPr>
          <w:rFonts w:eastAsia="Calibri"/>
          <w:lang w:eastAsia="en-US"/>
        </w:rPr>
        <w:t>)</w:t>
      </w:r>
      <w:r w:rsidR="00864EA1" w:rsidRPr="00AC30DE">
        <w:rPr>
          <w:rFonts w:eastAsia="Calibri"/>
          <w:lang w:eastAsia="en-US"/>
        </w:rPr>
        <w:t xml:space="preserve">. </w:t>
      </w:r>
    </w:p>
    <w:p w14:paraId="6907C005" w14:textId="5E6434BB" w:rsidR="00864EA1" w:rsidRDefault="004272D3" w:rsidP="00981C90">
      <w:pPr>
        <w:pStyle w:val="SemEspaamento"/>
        <w:rPr>
          <w:rFonts w:eastAsia="Calibri"/>
          <w:lang w:eastAsia="en-US"/>
        </w:rPr>
      </w:pPr>
      <w:r>
        <w:rPr>
          <w:rFonts w:eastAsia="Calibri"/>
          <w:lang w:eastAsia="en-US"/>
        </w:rPr>
        <w:tab/>
      </w:r>
      <w:r w:rsidR="00864EA1" w:rsidRPr="00AC30DE">
        <w:rPr>
          <w:rFonts w:eastAsia="Calibri"/>
          <w:lang w:eastAsia="en-US"/>
        </w:rPr>
        <w:t>Após a exposição primária à varicela, o vírus varicela-</w:t>
      </w:r>
      <w:proofErr w:type="spellStart"/>
      <w:r w:rsidR="00864EA1" w:rsidRPr="00AC30DE">
        <w:rPr>
          <w:rFonts w:eastAsia="Calibri"/>
          <w:lang w:eastAsia="en-US"/>
        </w:rPr>
        <w:t>zóster</w:t>
      </w:r>
      <w:proofErr w:type="spellEnd"/>
      <w:r w:rsidR="00864EA1" w:rsidRPr="00AC30DE">
        <w:rPr>
          <w:rFonts w:eastAsia="Calibri"/>
          <w:lang w:eastAsia="en-US"/>
        </w:rPr>
        <w:t xml:space="preserve"> permanece dormente nos gânglios sensoriais dos nervos espinhais</w:t>
      </w:r>
      <w:r>
        <w:rPr>
          <w:rFonts w:eastAsia="Calibri"/>
          <w:lang w:eastAsia="en-US"/>
        </w:rPr>
        <w:t xml:space="preserve"> ou cranianos, porém, d</w:t>
      </w:r>
      <w:r w:rsidR="00864EA1" w:rsidRPr="00AC30DE">
        <w:rPr>
          <w:rFonts w:eastAsia="Calibri"/>
          <w:lang w:eastAsia="en-US"/>
        </w:rPr>
        <w:t>evido à funcionalidade motora e sens</w:t>
      </w:r>
      <w:r>
        <w:rPr>
          <w:rFonts w:eastAsia="Calibri"/>
          <w:lang w:eastAsia="en-US"/>
        </w:rPr>
        <w:t xml:space="preserve">orial deste nervo craniano, as </w:t>
      </w:r>
      <w:r w:rsidR="00DA2872">
        <w:rPr>
          <w:rFonts w:eastAsia="Calibri"/>
          <w:lang w:eastAsia="en-US"/>
        </w:rPr>
        <w:t>consequências</w:t>
      </w:r>
      <w:r w:rsidR="00864EA1" w:rsidRPr="00AC30DE">
        <w:rPr>
          <w:rFonts w:eastAsia="Calibri"/>
          <w:lang w:eastAsia="en-US"/>
        </w:rPr>
        <w:t xml:space="preserve"> pode</w:t>
      </w:r>
      <w:r>
        <w:rPr>
          <w:rFonts w:eastAsia="Calibri"/>
          <w:lang w:eastAsia="en-US"/>
        </w:rPr>
        <w:t>m ser neurologicamente múltiplas,</w:t>
      </w:r>
      <w:r w:rsidR="00864EA1" w:rsidRPr="00AC30DE">
        <w:rPr>
          <w:rFonts w:eastAsia="Calibri"/>
          <w:lang w:eastAsia="en-US"/>
        </w:rPr>
        <w:t xml:space="preserve"> e a af</w:t>
      </w:r>
      <w:r>
        <w:rPr>
          <w:rFonts w:eastAsia="Calibri"/>
          <w:lang w:eastAsia="en-US"/>
        </w:rPr>
        <w:t xml:space="preserve">ecção </w:t>
      </w:r>
      <w:r w:rsidR="00864EA1" w:rsidRPr="00AC30DE">
        <w:rPr>
          <w:rFonts w:eastAsia="Calibri"/>
          <w:lang w:eastAsia="en-US"/>
        </w:rPr>
        <w:t xml:space="preserve">do </w:t>
      </w:r>
      <w:proofErr w:type="spellStart"/>
      <w:r w:rsidR="00864EA1" w:rsidRPr="00AC30DE">
        <w:rPr>
          <w:rFonts w:eastAsia="Calibri"/>
          <w:lang w:eastAsia="en-US"/>
        </w:rPr>
        <w:t>dermátomo</w:t>
      </w:r>
      <w:proofErr w:type="spellEnd"/>
      <w:r w:rsidR="00864EA1" w:rsidRPr="00AC30DE">
        <w:rPr>
          <w:rFonts w:eastAsia="Calibri"/>
          <w:lang w:eastAsia="en-US"/>
        </w:rPr>
        <w:t xml:space="preserve"> associada ao gânglio alterado dá origem às vesículas herpéticas características</w:t>
      </w:r>
      <w:r>
        <w:rPr>
          <w:rFonts w:eastAsia="Calibri"/>
          <w:lang w:eastAsia="en-US"/>
        </w:rPr>
        <w:t>,</w:t>
      </w:r>
      <w:r w:rsidR="00AC30DE">
        <w:rPr>
          <w:rFonts w:eastAsia="Calibri"/>
          <w:lang w:eastAsia="en-US"/>
        </w:rPr>
        <w:t xml:space="preserve"> distribuídas na orel</w:t>
      </w:r>
      <w:r>
        <w:rPr>
          <w:rFonts w:eastAsia="Calibri"/>
          <w:lang w:eastAsia="en-US"/>
        </w:rPr>
        <w:t>ha e</w:t>
      </w:r>
      <w:r w:rsidR="00D64791">
        <w:rPr>
          <w:rFonts w:eastAsia="Calibri"/>
          <w:lang w:eastAsia="en-US"/>
        </w:rPr>
        <w:t xml:space="preserve"> </w:t>
      </w:r>
      <w:r>
        <w:rPr>
          <w:rFonts w:eastAsia="Calibri"/>
          <w:lang w:eastAsia="en-US"/>
        </w:rPr>
        <w:t xml:space="preserve">anteriores </w:t>
      </w:r>
      <w:r w:rsidR="00864EA1" w:rsidRPr="00AC30DE">
        <w:rPr>
          <w:rFonts w:eastAsia="Calibri"/>
          <w:lang w:eastAsia="en-US"/>
        </w:rPr>
        <w:t>a mucosa lingual ou pescoço</w:t>
      </w:r>
      <w:r w:rsidR="006B455E">
        <w:rPr>
          <w:rFonts w:eastAsia="Calibri"/>
          <w:lang w:eastAsia="en-US"/>
        </w:rPr>
        <w:t>.</w:t>
      </w:r>
      <w:r w:rsidR="00D64791">
        <w:rPr>
          <w:rFonts w:eastAsia="Calibri"/>
          <w:lang w:eastAsia="en-US"/>
        </w:rPr>
        <w:t xml:space="preserve"> </w:t>
      </w:r>
      <w:r w:rsidR="006B455E" w:rsidRPr="00951423">
        <w:rPr>
          <w:rFonts w:eastAsia="Calibri"/>
          <w:lang w:eastAsia="en-US"/>
        </w:rPr>
        <w:t xml:space="preserve">Os </w:t>
      </w:r>
      <w:proofErr w:type="spellStart"/>
      <w:r w:rsidR="006B455E" w:rsidRPr="00951423">
        <w:rPr>
          <w:rFonts w:eastAsia="Calibri"/>
          <w:lang w:eastAsia="en-US"/>
        </w:rPr>
        <w:t>dermátomos</w:t>
      </w:r>
      <w:proofErr w:type="spellEnd"/>
      <w:r w:rsidR="006B455E" w:rsidRPr="00951423">
        <w:rPr>
          <w:rFonts w:eastAsia="Calibri"/>
          <w:lang w:eastAsia="en-US"/>
        </w:rPr>
        <w:t xml:space="preserve"> da região torácica são os mais acometidos, seguidos d</w:t>
      </w:r>
      <w:r w:rsidR="006B455E">
        <w:rPr>
          <w:rFonts w:eastAsia="Calibri"/>
          <w:lang w:eastAsia="en-US"/>
        </w:rPr>
        <w:t>as localizações craniofaciais, sendo que e</w:t>
      </w:r>
      <w:r w:rsidR="006B455E" w:rsidRPr="00951423">
        <w:rPr>
          <w:rFonts w:eastAsia="Calibri"/>
          <w:lang w:eastAsia="en-US"/>
        </w:rPr>
        <w:t xml:space="preserve">m alguns casos, palato, faringe, pescoço ou áreas </w:t>
      </w:r>
      <w:proofErr w:type="spellStart"/>
      <w:r w:rsidR="006B455E" w:rsidRPr="00951423">
        <w:rPr>
          <w:rFonts w:eastAsia="Calibri"/>
          <w:lang w:eastAsia="en-US"/>
        </w:rPr>
        <w:t>retroauriculares</w:t>
      </w:r>
      <w:proofErr w:type="spellEnd"/>
      <w:r w:rsidR="006B455E" w:rsidRPr="00951423">
        <w:rPr>
          <w:rFonts w:eastAsia="Calibri"/>
          <w:lang w:eastAsia="en-US"/>
        </w:rPr>
        <w:t xml:space="preserve"> podem ser afetadas, e essas localizações estão frequentemente associadas à síndrome de </w:t>
      </w:r>
      <w:proofErr w:type="spellStart"/>
      <w:r w:rsidR="006B455E" w:rsidRPr="00951423">
        <w:rPr>
          <w:rFonts w:eastAsia="Calibri"/>
          <w:lang w:eastAsia="en-US"/>
        </w:rPr>
        <w:t>Ramsay</w:t>
      </w:r>
      <w:proofErr w:type="spellEnd"/>
      <w:r w:rsidR="006B455E" w:rsidRPr="00951423">
        <w:rPr>
          <w:rFonts w:eastAsia="Calibri"/>
          <w:lang w:eastAsia="en-US"/>
        </w:rPr>
        <w:t xml:space="preserve"> Hunt</w:t>
      </w:r>
      <w:r w:rsidR="00AD30D4">
        <w:rPr>
          <w:rFonts w:eastAsia="Calibri"/>
          <w:lang w:eastAsia="en-US"/>
        </w:rPr>
        <w:t xml:space="preserve"> </w:t>
      </w:r>
      <w:r>
        <w:rPr>
          <w:rFonts w:eastAsia="Calibri"/>
          <w:lang w:eastAsia="en-US"/>
        </w:rPr>
        <w:t>(</w:t>
      </w:r>
      <w:r w:rsidR="00D64791">
        <w:rPr>
          <w:rFonts w:eastAsia="Calibri"/>
          <w:lang w:eastAsia="en-US"/>
        </w:rPr>
        <w:t>TSAI</w:t>
      </w:r>
      <w:r w:rsidR="000B5E8A">
        <w:rPr>
          <w:rFonts w:eastAsia="Calibri"/>
          <w:lang w:eastAsia="en-US"/>
        </w:rPr>
        <w:t>, et al.</w:t>
      </w:r>
      <w:r w:rsidR="00D64791">
        <w:rPr>
          <w:rFonts w:eastAsia="Calibri"/>
          <w:lang w:eastAsia="en-US"/>
        </w:rPr>
        <w:t xml:space="preserve"> </w:t>
      </w:r>
      <w:r w:rsidR="000B5E8A">
        <w:rPr>
          <w:rFonts w:eastAsia="Calibri"/>
          <w:lang w:eastAsia="en-US"/>
        </w:rPr>
        <w:t>2012).</w:t>
      </w:r>
      <w:r>
        <w:rPr>
          <w:rFonts w:eastAsia="Calibri"/>
          <w:lang w:eastAsia="en-US"/>
        </w:rPr>
        <w:tab/>
      </w:r>
      <w:r w:rsidR="00864EA1" w:rsidRPr="00AC30DE">
        <w:rPr>
          <w:rFonts w:eastAsia="Calibri"/>
          <w:lang w:eastAsia="en-US"/>
        </w:rPr>
        <w:t>O mecanismo fisiopatológico é a reativação da varicela zoster no gânglio geniculado com consequente edema e compressão do VII nervo craniano</w:t>
      </w:r>
      <w:r>
        <w:rPr>
          <w:rFonts w:eastAsia="Calibri"/>
          <w:lang w:eastAsia="en-US"/>
        </w:rPr>
        <w:t>, responsável pelos movimentos da face</w:t>
      </w:r>
      <w:r w:rsidR="00864EA1" w:rsidRPr="00AC30DE">
        <w:rPr>
          <w:rFonts w:eastAsia="Calibri"/>
          <w:lang w:eastAsia="en-US"/>
        </w:rPr>
        <w:t>. Além das manifestações sensório-motoras, algumas das complicações possíveis são meningoencefalite, mielite, lesões dos troncos simpáticos ou eventos vasculares secundá</w:t>
      </w:r>
      <w:r w:rsidR="0026306F">
        <w:rPr>
          <w:rFonts w:eastAsia="Calibri"/>
          <w:lang w:eastAsia="en-US"/>
        </w:rPr>
        <w:t>rios à doença vascular cerebral</w:t>
      </w:r>
      <w:r w:rsidR="00635516">
        <w:rPr>
          <w:rFonts w:eastAsia="Calibri"/>
          <w:lang w:eastAsia="en-US"/>
        </w:rPr>
        <w:t xml:space="preserve"> (</w:t>
      </w:r>
      <w:r w:rsidR="0047650F">
        <w:rPr>
          <w:rFonts w:eastAsia="Calibri"/>
          <w:lang w:eastAsia="en-US"/>
        </w:rPr>
        <w:t xml:space="preserve">SHIN, et al. </w:t>
      </w:r>
      <w:r w:rsidR="0026306F">
        <w:rPr>
          <w:rFonts w:eastAsia="Calibri"/>
          <w:lang w:eastAsia="en-US"/>
        </w:rPr>
        <w:t>2016</w:t>
      </w:r>
      <w:r w:rsidR="00951423">
        <w:rPr>
          <w:rFonts w:eastAsia="Calibri"/>
          <w:lang w:eastAsia="en-US"/>
        </w:rPr>
        <w:t>).</w:t>
      </w:r>
    </w:p>
    <w:p w14:paraId="695E61BF" w14:textId="4547D202" w:rsidR="006A3676" w:rsidRDefault="00641954" w:rsidP="00981C90">
      <w:pPr>
        <w:pStyle w:val="SemEspaamento"/>
        <w:rPr>
          <w:rFonts w:eastAsia="Calibri"/>
          <w:lang w:eastAsia="en-US"/>
        </w:rPr>
      </w:pPr>
      <w:r>
        <w:rPr>
          <w:rFonts w:eastAsia="Calibri"/>
          <w:lang w:eastAsia="en-US"/>
        </w:rPr>
        <w:tab/>
        <w:t>Os sintomas podem ser:</w:t>
      </w:r>
      <w:r w:rsidR="00635516">
        <w:rPr>
          <w:rFonts w:eastAsia="Calibri"/>
          <w:lang w:eastAsia="en-US"/>
        </w:rPr>
        <w:t xml:space="preserve"> </w:t>
      </w:r>
      <w:r w:rsidR="00951423" w:rsidRPr="00951423">
        <w:rPr>
          <w:rFonts w:eastAsia="Calibri"/>
          <w:lang w:eastAsia="en-US"/>
        </w:rPr>
        <w:t>dor in</w:t>
      </w:r>
      <w:r>
        <w:rPr>
          <w:rFonts w:eastAsia="Calibri"/>
          <w:lang w:eastAsia="en-US"/>
        </w:rPr>
        <w:t xml:space="preserve">tensa, coceira, hiperestesia, </w:t>
      </w:r>
      <w:r w:rsidR="00951423" w:rsidRPr="00402CFE">
        <w:rPr>
          <w:rFonts w:eastAsia="Calibri"/>
          <w:lang w:eastAsia="en-US"/>
        </w:rPr>
        <w:t>erupção de vesículas agrupadas em uma base e</w:t>
      </w:r>
      <w:r w:rsidR="00402CFE" w:rsidRPr="00402CFE">
        <w:rPr>
          <w:rFonts w:eastAsia="Calibri"/>
          <w:lang w:eastAsia="en-US"/>
        </w:rPr>
        <w:t xml:space="preserve">ritematosa </w:t>
      </w:r>
      <w:r w:rsidR="00951423" w:rsidRPr="00951423">
        <w:rPr>
          <w:rFonts w:eastAsia="Calibri"/>
          <w:lang w:eastAsia="en-US"/>
        </w:rPr>
        <w:t>ao long</w:t>
      </w:r>
      <w:r>
        <w:rPr>
          <w:rFonts w:eastAsia="Calibri"/>
          <w:lang w:eastAsia="en-US"/>
        </w:rPr>
        <w:t xml:space="preserve">o de um </w:t>
      </w:r>
      <w:proofErr w:type="spellStart"/>
      <w:r>
        <w:rPr>
          <w:rFonts w:eastAsia="Calibri"/>
          <w:lang w:eastAsia="en-US"/>
        </w:rPr>
        <w:t>dermátomo</w:t>
      </w:r>
      <w:proofErr w:type="spellEnd"/>
      <w:r>
        <w:rPr>
          <w:rFonts w:eastAsia="Calibri"/>
          <w:lang w:eastAsia="en-US"/>
        </w:rPr>
        <w:t xml:space="preserve"> sensível, vertigem, secura ocular, paralisia facial, perda auditiva, zumbido, cefaleia, rouquidão, entre outros</w:t>
      </w:r>
      <w:r w:rsidR="006B455E">
        <w:rPr>
          <w:rFonts w:eastAsia="Calibri"/>
          <w:lang w:eastAsia="en-US"/>
        </w:rPr>
        <w:t xml:space="preserve">. </w:t>
      </w:r>
      <w:r w:rsidR="006A3676">
        <w:rPr>
          <w:rFonts w:eastAsia="Calibri"/>
          <w:lang w:eastAsia="en-US"/>
        </w:rPr>
        <w:t xml:space="preserve">A </w:t>
      </w:r>
      <w:r w:rsidR="006A3676" w:rsidRPr="006A3676">
        <w:rPr>
          <w:rFonts w:eastAsia="Calibri"/>
          <w:lang w:eastAsia="en-US"/>
        </w:rPr>
        <w:t xml:space="preserve">paralisia facial periférica geralmente aparece entre </w:t>
      </w:r>
      <w:r w:rsidR="001E390B">
        <w:rPr>
          <w:rFonts w:eastAsia="Calibri"/>
          <w:lang w:eastAsia="en-US"/>
        </w:rPr>
        <w:t>o segundo e o décimo quinto dia</w:t>
      </w:r>
      <w:r w:rsidR="006A3676" w:rsidRPr="006A3676">
        <w:rPr>
          <w:rFonts w:eastAsia="Calibri"/>
          <w:lang w:eastAsia="en-US"/>
        </w:rPr>
        <w:t xml:space="preserve"> após a erupção vesicular, embora </w:t>
      </w:r>
      <w:r w:rsidR="001E390B">
        <w:rPr>
          <w:rFonts w:eastAsia="Calibri"/>
          <w:lang w:eastAsia="en-US"/>
        </w:rPr>
        <w:t>em alguns casos</w:t>
      </w:r>
      <w:r w:rsidR="006A3676" w:rsidRPr="006A3676">
        <w:rPr>
          <w:rFonts w:eastAsia="Calibri"/>
          <w:lang w:eastAsia="en-US"/>
        </w:rPr>
        <w:t xml:space="preserve"> possa preceder a erupção ou ocorrer sem e</w:t>
      </w:r>
      <w:r w:rsidR="001E390B">
        <w:rPr>
          <w:rFonts w:eastAsia="Calibri"/>
          <w:lang w:eastAsia="en-US"/>
        </w:rPr>
        <w:t xml:space="preserve">la, </w:t>
      </w:r>
      <w:r w:rsidR="004B7F60">
        <w:rPr>
          <w:rFonts w:eastAsia="Calibri"/>
          <w:lang w:eastAsia="en-US"/>
        </w:rPr>
        <w:t xml:space="preserve">dificultando </w:t>
      </w:r>
      <w:r w:rsidR="001E390B">
        <w:rPr>
          <w:rFonts w:eastAsia="Calibri"/>
          <w:lang w:eastAsia="en-US"/>
        </w:rPr>
        <w:t>assim o diagnóstico. P</w:t>
      </w:r>
      <w:r w:rsidR="004B7F60">
        <w:rPr>
          <w:rFonts w:eastAsia="Calibri"/>
          <w:lang w:eastAsia="en-US"/>
        </w:rPr>
        <w:t xml:space="preserve">orquanto, é </w:t>
      </w:r>
      <w:r w:rsidR="006A3676" w:rsidRPr="006A3676">
        <w:rPr>
          <w:rFonts w:eastAsia="Calibri"/>
          <w:lang w:eastAsia="en-US"/>
        </w:rPr>
        <w:t>amplamente difundido e aceito que o tratamento dessa síndrome seja com antivirais nos primeiros 3 dias após o aparecimento das les</w:t>
      </w:r>
      <w:r w:rsidR="001E390B">
        <w:rPr>
          <w:rFonts w:eastAsia="Calibri"/>
          <w:lang w:eastAsia="en-US"/>
        </w:rPr>
        <w:t xml:space="preserve">ões, juntamente com </w:t>
      </w:r>
      <w:proofErr w:type="spellStart"/>
      <w:r w:rsidR="001E390B">
        <w:rPr>
          <w:rFonts w:eastAsia="Calibri"/>
          <w:lang w:eastAsia="en-US"/>
        </w:rPr>
        <w:t>corticosteró</w:t>
      </w:r>
      <w:r w:rsidR="006A3676" w:rsidRPr="006A3676">
        <w:rPr>
          <w:rFonts w:eastAsia="Calibri"/>
          <w:lang w:eastAsia="en-US"/>
        </w:rPr>
        <w:t>ides</w:t>
      </w:r>
      <w:proofErr w:type="spellEnd"/>
      <w:r w:rsidR="006A3676" w:rsidRPr="006A3676">
        <w:rPr>
          <w:rFonts w:eastAsia="Calibri"/>
          <w:lang w:eastAsia="en-US"/>
        </w:rPr>
        <w:t xml:space="preserve"> orais ou intravenosos no caso de imunossuprimidos ou casos graves. O </w:t>
      </w:r>
      <w:r w:rsidR="006A3676" w:rsidRPr="006A3676">
        <w:rPr>
          <w:rFonts w:eastAsia="Calibri"/>
          <w:lang w:eastAsia="en-US"/>
        </w:rPr>
        <w:lastRenderedPageBreak/>
        <w:t>prognóstico costuma ser melhor com o início precoce do tratamento</w:t>
      </w:r>
      <w:r w:rsidR="004B7F60">
        <w:rPr>
          <w:rFonts w:eastAsia="Calibri"/>
          <w:lang w:eastAsia="en-US"/>
        </w:rPr>
        <w:t>, porém,</w:t>
      </w:r>
      <w:r w:rsidR="006A3676" w:rsidRPr="006A3676">
        <w:rPr>
          <w:rFonts w:eastAsia="Calibri"/>
          <w:lang w:eastAsia="en-US"/>
        </w:rPr>
        <w:t xml:space="preserve"> atualmente tem sido debatido se os agentes antivirais realmente contribuem para a resol</w:t>
      </w:r>
      <w:r w:rsidR="008F70C3">
        <w:rPr>
          <w:rFonts w:eastAsia="Calibri"/>
          <w:lang w:eastAsia="en-US"/>
        </w:rPr>
        <w:t xml:space="preserve">ução da doença, e a utilidade de aciclovir, </w:t>
      </w:r>
      <w:r w:rsidR="006A3676" w:rsidRPr="006A3676">
        <w:rPr>
          <w:rFonts w:eastAsia="Calibri"/>
          <w:lang w:eastAsia="en-US"/>
        </w:rPr>
        <w:t xml:space="preserve">prednisona ou dexametasona também é debatida, devido ao desapontamento no uso de </w:t>
      </w:r>
      <w:proofErr w:type="spellStart"/>
      <w:r w:rsidR="006A3676" w:rsidRPr="006A3676">
        <w:rPr>
          <w:rFonts w:eastAsia="Calibri"/>
          <w:lang w:eastAsia="en-US"/>
        </w:rPr>
        <w:t>cortico</w:t>
      </w:r>
      <w:r w:rsidR="000C0D15">
        <w:rPr>
          <w:rFonts w:eastAsia="Calibri"/>
          <w:lang w:eastAsia="en-US"/>
        </w:rPr>
        <w:t>steróides</w:t>
      </w:r>
      <w:proofErr w:type="spellEnd"/>
      <w:r w:rsidR="000C0D15">
        <w:rPr>
          <w:rFonts w:eastAsia="Calibri"/>
          <w:lang w:eastAsia="en-US"/>
        </w:rPr>
        <w:t xml:space="preserve"> na doença viral aguda, outras alternativas de tratamentos não medicamentosos são fisioterapia, acupuntura e massagens terapêuticas (ALMEIDA et al</w:t>
      </w:r>
      <w:r w:rsidR="00AD30D4">
        <w:rPr>
          <w:rFonts w:eastAsia="Calibri"/>
          <w:lang w:eastAsia="en-US"/>
        </w:rPr>
        <w:t>.</w:t>
      </w:r>
      <w:r w:rsidR="000C0D15">
        <w:rPr>
          <w:rFonts w:eastAsia="Calibri"/>
          <w:lang w:eastAsia="en-US"/>
        </w:rPr>
        <w:t>, 2020).</w:t>
      </w:r>
    </w:p>
    <w:p w14:paraId="64D8C5BC" w14:textId="77777777" w:rsidR="003446C2" w:rsidRDefault="0046101C" w:rsidP="00AA236D">
      <w:pPr>
        <w:pStyle w:val="SemEspaamento"/>
        <w:rPr>
          <w:rFonts w:eastAsia="Calibri"/>
          <w:lang w:eastAsia="en-US"/>
        </w:rPr>
      </w:pPr>
      <w:r>
        <w:rPr>
          <w:rFonts w:eastAsia="Calibri"/>
          <w:lang w:eastAsia="en-US"/>
        </w:rPr>
        <w:tab/>
      </w:r>
      <w:r w:rsidRPr="0046101C">
        <w:rPr>
          <w:rFonts w:eastAsia="Calibri"/>
          <w:lang w:eastAsia="en-US"/>
        </w:rPr>
        <w:t>O tratamento também inclui cuidados oftalmológicos, por meio de tamponamento ocular e apli</w:t>
      </w:r>
      <w:r>
        <w:rPr>
          <w:rFonts w:eastAsia="Calibri"/>
          <w:lang w:eastAsia="en-US"/>
        </w:rPr>
        <w:t>cação de lágrimas artificiais, além de</w:t>
      </w:r>
      <w:r w:rsidRPr="0046101C">
        <w:rPr>
          <w:rFonts w:eastAsia="Calibri"/>
          <w:lang w:eastAsia="en-US"/>
        </w:rPr>
        <w:t xml:space="preserve"> cuidados de lesões cutâneas com estimulantes </w:t>
      </w:r>
      <w:r>
        <w:rPr>
          <w:rFonts w:eastAsia="Calibri"/>
          <w:lang w:eastAsia="en-US"/>
        </w:rPr>
        <w:t>utilizando</w:t>
      </w:r>
      <w:r w:rsidRPr="0046101C">
        <w:rPr>
          <w:rFonts w:eastAsia="Calibri"/>
          <w:lang w:eastAsia="en-US"/>
        </w:rPr>
        <w:t xml:space="preserve"> sulf</w:t>
      </w:r>
      <w:r>
        <w:rPr>
          <w:rFonts w:eastAsia="Calibri"/>
          <w:lang w:eastAsia="en-US"/>
        </w:rPr>
        <w:t xml:space="preserve">ato de zinco e ácido </w:t>
      </w:r>
      <w:proofErr w:type="spellStart"/>
      <w:r>
        <w:rPr>
          <w:rFonts w:eastAsia="Calibri"/>
          <w:lang w:eastAsia="en-US"/>
        </w:rPr>
        <w:t>fusídico</w:t>
      </w:r>
      <w:proofErr w:type="spellEnd"/>
      <w:r>
        <w:rPr>
          <w:rFonts w:eastAsia="Calibri"/>
          <w:lang w:eastAsia="en-US"/>
        </w:rPr>
        <w:t xml:space="preserve">, e sua recuperação </w:t>
      </w:r>
      <w:r w:rsidRPr="0046101C">
        <w:rPr>
          <w:rFonts w:eastAsia="Calibri"/>
          <w:lang w:eastAsia="en-US"/>
        </w:rPr>
        <w:t>está relacionada ao grau de comprometimento inici</w:t>
      </w:r>
      <w:r>
        <w:rPr>
          <w:rFonts w:eastAsia="Calibri"/>
          <w:lang w:eastAsia="en-US"/>
        </w:rPr>
        <w:t xml:space="preserve">al, (escala de </w:t>
      </w:r>
      <w:proofErr w:type="spellStart"/>
      <w:r>
        <w:rPr>
          <w:rFonts w:eastAsia="Calibri"/>
          <w:lang w:eastAsia="en-US"/>
        </w:rPr>
        <w:t>House-Brackmann</w:t>
      </w:r>
      <w:proofErr w:type="spellEnd"/>
      <w:r>
        <w:rPr>
          <w:rFonts w:eastAsia="Calibri"/>
          <w:lang w:eastAsia="en-US"/>
        </w:rPr>
        <w:t>)</w:t>
      </w:r>
      <w:r w:rsidRPr="0046101C">
        <w:rPr>
          <w:rFonts w:eastAsia="Calibri"/>
          <w:lang w:eastAsia="en-US"/>
        </w:rPr>
        <w:t>. Outros fatores de mau prognóstico são idade avançada e envolvi</w:t>
      </w:r>
      <w:r>
        <w:rPr>
          <w:rFonts w:eastAsia="Calibri"/>
          <w:lang w:eastAsia="en-US"/>
        </w:rPr>
        <w:t xml:space="preserve">mento do nervo petroso superior, mas a </w:t>
      </w:r>
      <w:r w:rsidRPr="0046101C">
        <w:rPr>
          <w:rFonts w:eastAsia="Calibri"/>
          <w:lang w:eastAsia="en-US"/>
        </w:rPr>
        <w:t xml:space="preserve">perda auditiva geralmente apresenta um curso entorpecido e os sintomas vestibulares </w:t>
      </w:r>
      <w:r>
        <w:rPr>
          <w:rFonts w:eastAsia="Calibri"/>
          <w:lang w:eastAsia="en-US"/>
        </w:rPr>
        <w:t>costumam ter</w:t>
      </w:r>
      <w:r w:rsidRPr="0046101C">
        <w:rPr>
          <w:rFonts w:eastAsia="Calibri"/>
          <w:lang w:eastAsia="en-US"/>
        </w:rPr>
        <w:t xml:space="preserve"> uma </w:t>
      </w:r>
      <w:r>
        <w:rPr>
          <w:rFonts w:eastAsia="Calibri"/>
          <w:lang w:eastAsia="en-US"/>
        </w:rPr>
        <w:t xml:space="preserve">boa resposta clínica em 6 meses </w:t>
      </w:r>
      <w:r w:rsidR="00BB4874">
        <w:rPr>
          <w:rFonts w:eastAsia="Calibri"/>
          <w:lang w:eastAsia="en-US"/>
        </w:rPr>
        <w:t>(ALMEIDA et al</w:t>
      </w:r>
      <w:r w:rsidR="00AD30D4">
        <w:rPr>
          <w:rFonts w:eastAsia="Calibri"/>
          <w:lang w:eastAsia="en-US"/>
        </w:rPr>
        <w:t>.</w:t>
      </w:r>
      <w:r w:rsidR="00BB4874">
        <w:rPr>
          <w:rFonts w:eastAsia="Calibri"/>
          <w:lang w:eastAsia="en-US"/>
        </w:rPr>
        <w:t xml:space="preserve">, 2020; </w:t>
      </w:r>
      <w:r w:rsidR="00C2253B">
        <w:rPr>
          <w:rFonts w:eastAsia="Calibri"/>
          <w:lang w:eastAsia="en-US"/>
        </w:rPr>
        <w:t>SILVA et al</w:t>
      </w:r>
      <w:r w:rsidR="00AD30D4">
        <w:rPr>
          <w:rFonts w:eastAsia="Calibri"/>
          <w:lang w:eastAsia="en-US"/>
        </w:rPr>
        <w:t>.</w:t>
      </w:r>
      <w:r w:rsidR="00C2253B">
        <w:rPr>
          <w:rFonts w:eastAsia="Calibri"/>
          <w:lang w:eastAsia="en-US"/>
        </w:rPr>
        <w:t>, 2018).</w:t>
      </w:r>
    </w:p>
    <w:p w14:paraId="6B26A5F8" w14:textId="6F507C07" w:rsidR="001646EB" w:rsidRPr="001646EB" w:rsidRDefault="001646EB" w:rsidP="001646EB">
      <w:pPr>
        <w:pStyle w:val="SemEspaamento"/>
        <w:rPr>
          <w:rFonts w:eastAsia="Calibri"/>
          <w:lang w:eastAsia="en-US"/>
        </w:rPr>
      </w:pPr>
      <w:r>
        <w:rPr>
          <w:rFonts w:eastAsia="Calibri"/>
          <w:lang w:eastAsia="en-US"/>
        </w:rPr>
        <w:tab/>
        <w:t>Os</w:t>
      </w:r>
      <w:r w:rsidR="00635516">
        <w:rPr>
          <w:rFonts w:eastAsia="Calibri"/>
          <w:lang w:eastAsia="en-US"/>
        </w:rPr>
        <w:t xml:space="preserve"> </w:t>
      </w:r>
      <w:r>
        <w:rPr>
          <w:rFonts w:eastAsia="Calibri"/>
          <w:lang w:eastAsia="en-US"/>
        </w:rPr>
        <w:t>exames físicos e sorológicos são utilizados para confirmação de diagnóstico e, o</w:t>
      </w:r>
      <w:r w:rsidRPr="001646EB">
        <w:rPr>
          <w:rFonts w:eastAsia="Calibri"/>
          <w:lang w:eastAsia="en-US"/>
        </w:rPr>
        <w:t xml:space="preserve"> exame físico é o primeiro exame</w:t>
      </w:r>
      <w:r>
        <w:rPr>
          <w:rFonts w:eastAsia="Calibri"/>
          <w:lang w:eastAsia="en-US"/>
        </w:rPr>
        <w:t xml:space="preserve"> realizado</w:t>
      </w:r>
      <w:r w:rsidRPr="001646EB">
        <w:rPr>
          <w:rFonts w:eastAsia="Calibri"/>
          <w:lang w:eastAsia="en-US"/>
        </w:rPr>
        <w:t>, visualizando as vesículas na região do corpo.</w:t>
      </w:r>
      <w:r>
        <w:rPr>
          <w:rFonts w:eastAsia="Calibri"/>
          <w:lang w:eastAsia="en-US"/>
        </w:rPr>
        <w:t xml:space="preserve"> Existem os exames: </w:t>
      </w:r>
      <w:r w:rsidRPr="0019621A">
        <w:rPr>
          <w:rFonts w:eastAsia="Calibri"/>
          <w:lang w:eastAsia="en-US"/>
        </w:rPr>
        <w:t>físico com vesículas localizadas no ouvido, cav</w:t>
      </w:r>
      <w:r>
        <w:rPr>
          <w:rFonts w:eastAsia="Calibri"/>
          <w:lang w:eastAsia="en-US"/>
        </w:rPr>
        <w:t>idade oral, orofaringe, cabeça,</w:t>
      </w:r>
      <w:r w:rsidRPr="0019621A">
        <w:rPr>
          <w:rFonts w:eastAsia="Calibri"/>
          <w:lang w:eastAsia="en-US"/>
        </w:rPr>
        <w:t xml:space="preserve"> pescoço e tórax</w:t>
      </w:r>
      <w:r>
        <w:rPr>
          <w:rFonts w:eastAsia="Calibri"/>
          <w:lang w:eastAsia="en-US"/>
        </w:rPr>
        <w:t>, e</w:t>
      </w:r>
      <w:r w:rsidRPr="0019621A">
        <w:rPr>
          <w:rFonts w:eastAsia="Calibri"/>
          <w:lang w:eastAsia="en-US"/>
        </w:rPr>
        <w:t xml:space="preserve">nsaio </w:t>
      </w:r>
      <w:proofErr w:type="spellStart"/>
      <w:r w:rsidRPr="0019621A">
        <w:rPr>
          <w:rFonts w:eastAsia="Calibri"/>
          <w:lang w:eastAsia="en-US"/>
        </w:rPr>
        <w:t>imunoenzimático</w:t>
      </w:r>
      <w:proofErr w:type="spellEnd"/>
      <w:r w:rsidRPr="0019621A">
        <w:rPr>
          <w:rFonts w:eastAsia="Calibri"/>
          <w:lang w:eastAsia="en-US"/>
        </w:rPr>
        <w:t xml:space="preserve"> (ELISA)</w:t>
      </w:r>
      <w:r>
        <w:rPr>
          <w:rFonts w:eastAsia="Calibri"/>
          <w:lang w:eastAsia="en-US"/>
        </w:rPr>
        <w:t>, r</w:t>
      </w:r>
      <w:r w:rsidRPr="0019621A">
        <w:rPr>
          <w:rFonts w:eastAsia="Calibri"/>
          <w:lang w:eastAsia="en-US"/>
        </w:rPr>
        <w:t>eação em cadeia da po</w:t>
      </w:r>
      <w:r>
        <w:rPr>
          <w:rFonts w:eastAsia="Calibri"/>
          <w:lang w:eastAsia="en-US"/>
        </w:rPr>
        <w:t>limerase (PCR), a</w:t>
      </w:r>
      <w:r w:rsidRPr="0019621A">
        <w:rPr>
          <w:rFonts w:eastAsia="Calibri"/>
          <w:lang w:eastAsia="en-US"/>
        </w:rPr>
        <w:t>glutinação pelo látex (AL)</w:t>
      </w:r>
      <w:r>
        <w:rPr>
          <w:rFonts w:eastAsia="Calibri"/>
          <w:lang w:eastAsia="en-US"/>
        </w:rPr>
        <w:t xml:space="preserve"> e i</w:t>
      </w:r>
      <w:r w:rsidRPr="0019621A">
        <w:rPr>
          <w:rFonts w:eastAsia="Calibri"/>
          <w:lang w:eastAsia="en-US"/>
        </w:rPr>
        <w:t>munofluorescência indireta (IFI</w:t>
      </w:r>
      <w:r>
        <w:rPr>
          <w:rFonts w:eastAsia="Calibri"/>
          <w:lang w:eastAsia="en-US"/>
        </w:rPr>
        <w:t>) (L</w:t>
      </w:r>
      <w:r w:rsidR="00C2253B">
        <w:rPr>
          <w:rFonts w:eastAsia="Calibri"/>
          <w:lang w:eastAsia="en-US"/>
        </w:rPr>
        <w:t>ÁZ</w:t>
      </w:r>
      <w:r w:rsidR="00D62726">
        <w:rPr>
          <w:rFonts w:eastAsia="Calibri"/>
          <w:lang w:eastAsia="en-US"/>
        </w:rPr>
        <w:t>ARI</w:t>
      </w:r>
      <w:r w:rsidR="003038D7">
        <w:rPr>
          <w:rFonts w:eastAsia="Calibri"/>
          <w:lang w:eastAsia="en-US"/>
        </w:rPr>
        <w:t>;</w:t>
      </w:r>
      <w:r w:rsidR="00AD30D4">
        <w:rPr>
          <w:rFonts w:eastAsia="Calibri"/>
          <w:lang w:eastAsia="en-US"/>
        </w:rPr>
        <w:t xml:space="preserve"> </w:t>
      </w:r>
      <w:r w:rsidR="003038D7">
        <w:rPr>
          <w:rFonts w:eastAsia="Calibri"/>
          <w:lang w:eastAsia="en-US"/>
        </w:rPr>
        <w:t>GRANATO,</w:t>
      </w:r>
      <w:r w:rsidR="00AD30D4">
        <w:rPr>
          <w:rFonts w:eastAsia="Calibri"/>
          <w:lang w:eastAsia="en-US"/>
        </w:rPr>
        <w:t xml:space="preserve"> </w:t>
      </w:r>
      <w:r>
        <w:rPr>
          <w:rFonts w:eastAsia="Calibri"/>
          <w:lang w:eastAsia="en-US"/>
        </w:rPr>
        <w:t>2015).</w:t>
      </w:r>
    </w:p>
    <w:p w14:paraId="44BA11C8" w14:textId="7DB3088F" w:rsidR="002F03A3" w:rsidRDefault="001646EB" w:rsidP="00AA236D">
      <w:pPr>
        <w:pStyle w:val="SemEspaamento"/>
        <w:rPr>
          <w:rFonts w:eastAsia="Calibri"/>
          <w:lang w:eastAsia="en-US"/>
        </w:rPr>
      </w:pPr>
      <w:r>
        <w:rPr>
          <w:rFonts w:eastAsia="Calibri"/>
          <w:lang w:eastAsia="en-US"/>
        </w:rPr>
        <w:tab/>
      </w:r>
      <w:r w:rsidRPr="001646EB">
        <w:rPr>
          <w:rFonts w:eastAsia="Calibri"/>
          <w:lang w:eastAsia="en-US"/>
        </w:rPr>
        <w:t>O ensaio Imunológico (ELISA) e PCR são considerados os testes de padrão ouro para diagnóstico de infecção pelo vírus varicela-</w:t>
      </w:r>
      <w:proofErr w:type="spellStart"/>
      <w:r w:rsidRPr="001646EB">
        <w:rPr>
          <w:rFonts w:eastAsia="Calibri"/>
          <w:lang w:eastAsia="en-US"/>
        </w:rPr>
        <w:t>zóster</w:t>
      </w:r>
      <w:proofErr w:type="spellEnd"/>
      <w:r w:rsidRPr="001646EB">
        <w:rPr>
          <w:rFonts w:eastAsia="Calibri"/>
          <w:lang w:eastAsia="en-US"/>
        </w:rPr>
        <w:t xml:space="preserve"> (VVZ). O teste de ELISA é um teste </w:t>
      </w:r>
      <w:proofErr w:type="spellStart"/>
      <w:r w:rsidR="00402CFE" w:rsidRPr="00402CFE">
        <w:rPr>
          <w:rFonts w:eastAsia="Calibri"/>
          <w:lang w:eastAsia="en-US"/>
        </w:rPr>
        <w:t>imunoenzimático</w:t>
      </w:r>
      <w:proofErr w:type="spellEnd"/>
      <w:r w:rsidR="00635516">
        <w:rPr>
          <w:rFonts w:eastAsia="Calibri"/>
          <w:lang w:eastAsia="en-US"/>
        </w:rPr>
        <w:t xml:space="preserve"> </w:t>
      </w:r>
      <w:r w:rsidRPr="00402CFE">
        <w:rPr>
          <w:rFonts w:eastAsia="Calibri"/>
          <w:lang w:eastAsia="en-US"/>
        </w:rPr>
        <w:t xml:space="preserve">que utiliza o soro do paciente para detectar a presença de anticorpos da classe </w:t>
      </w:r>
      <w:proofErr w:type="spellStart"/>
      <w:r w:rsidRPr="00402CFE">
        <w:rPr>
          <w:rFonts w:eastAsia="Calibri"/>
          <w:lang w:eastAsia="en-US"/>
        </w:rPr>
        <w:t>IgM</w:t>
      </w:r>
      <w:proofErr w:type="spellEnd"/>
      <w:r w:rsidRPr="00402CFE">
        <w:rPr>
          <w:rFonts w:eastAsia="Calibri"/>
          <w:lang w:eastAsia="en-US"/>
        </w:rPr>
        <w:t xml:space="preserve"> ou aumento</w:t>
      </w:r>
      <w:r w:rsidRPr="001646EB">
        <w:rPr>
          <w:rFonts w:eastAsia="Calibri"/>
          <w:lang w:eastAsia="en-US"/>
        </w:rPr>
        <w:t xml:space="preserve"> significativo de títulos de anticorpos IgG entre duas amostras coletadas em intervalos de 2 semanas</w:t>
      </w:r>
      <w:r>
        <w:rPr>
          <w:rFonts w:eastAsia="Calibri"/>
          <w:lang w:eastAsia="en-US"/>
        </w:rPr>
        <w:t>, que</w:t>
      </w:r>
      <w:r w:rsidRPr="001646EB">
        <w:rPr>
          <w:rFonts w:eastAsia="Calibri"/>
          <w:lang w:eastAsia="en-US"/>
        </w:rPr>
        <w:t xml:space="preserve"> sugere infecção recente.</w:t>
      </w:r>
      <w:r>
        <w:rPr>
          <w:rFonts w:eastAsia="Calibri"/>
          <w:lang w:eastAsia="en-US"/>
        </w:rPr>
        <w:t xml:space="preserve"> Porém, o</w:t>
      </w:r>
      <w:r w:rsidRPr="001646EB">
        <w:rPr>
          <w:rFonts w:eastAsia="Calibri"/>
          <w:lang w:eastAsia="en-US"/>
        </w:rPr>
        <w:t xml:space="preserve"> PCR em tempo real tem se mostrado o método com maior acurácia para a confirmação diagnóstica da doença sistêmica e do acometimento visceral. Para esse fim, o exame pode ser realizado no sangue, </w:t>
      </w:r>
      <w:r>
        <w:rPr>
          <w:rFonts w:eastAsia="Calibri"/>
          <w:lang w:eastAsia="en-US"/>
        </w:rPr>
        <w:t xml:space="preserve">no lavado </w:t>
      </w:r>
      <w:proofErr w:type="spellStart"/>
      <w:r>
        <w:rPr>
          <w:rFonts w:eastAsia="Calibri"/>
          <w:lang w:eastAsia="en-US"/>
        </w:rPr>
        <w:t>broncoalveo</w:t>
      </w:r>
      <w:r w:rsidR="00D62726">
        <w:rPr>
          <w:rFonts w:eastAsia="Calibri"/>
          <w:lang w:eastAsia="en-US"/>
        </w:rPr>
        <w:t>lar</w:t>
      </w:r>
      <w:proofErr w:type="spellEnd"/>
      <w:r w:rsidR="00D62726">
        <w:rPr>
          <w:rFonts w:eastAsia="Calibri"/>
          <w:lang w:eastAsia="en-US"/>
        </w:rPr>
        <w:t xml:space="preserve"> e no </w:t>
      </w:r>
      <w:proofErr w:type="spellStart"/>
      <w:r w:rsidR="00D62726">
        <w:rPr>
          <w:rFonts w:eastAsia="Calibri"/>
          <w:lang w:eastAsia="en-US"/>
        </w:rPr>
        <w:t>líquor</w:t>
      </w:r>
      <w:proofErr w:type="spellEnd"/>
      <w:r w:rsidR="00D62726">
        <w:rPr>
          <w:rFonts w:eastAsia="Calibri"/>
          <w:lang w:eastAsia="en-US"/>
        </w:rPr>
        <w:t xml:space="preserve"> (LÁZARI</w:t>
      </w:r>
      <w:r w:rsidR="003038D7">
        <w:rPr>
          <w:rFonts w:eastAsia="Calibri"/>
          <w:lang w:eastAsia="en-US"/>
        </w:rPr>
        <w:t>;</w:t>
      </w:r>
      <w:r w:rsidR="00AD30D4">
        <w:rPr>
          <w:rFonts w:eastAsia="Calibri"/>
          <w:lang w:eastAsia="en-US"/>
        </w:rPr>
        <w:t xml:space="preserve"> </w:t>
      </w:r>
      <w:r w:rsidR="003038D7">
        <w:rPr>
          <w:rFonts w:eastAsia="Calibri"/>
          <w:lang w:eastAsia="en-US"/>
        </w:rPr>
        <w:t>GRANATO,</w:t>
      </w:r>
      <w:r>
        <w:rPr>
          <w:rFonts w:eastAsia="Calibri"/>
          <w:lang w:eastAsia="en-US"/>
        </w:rPr>
        <w:t xml:space="preserve"> 2015).</w:t>
      </w:r>
    </w:p>
    <w:p w14:paraId="3148F4B5" w14:textId="06CCD59D" w:rsidR="001646EB" w:rsidRPr="0073613E" w:rsidRDefault="00FC488F" w:rsidP="00546DA8">
      <w:pPr>
        <w:pStyle w:val="SemEspaamento"/>
        <w:rPr>
          <w:rFonts w:eastAsia="Calibri"/>
          <w:lang w:eastAsia="en-US"/>
        </w:rPr>
      </w:pPr>
      <w:r>
        <w:rPr>
          <w:rFonts w:eastAsia="Calibri"/>
          <w:lang w:eastAsia="en-US"/>
        </w:rPr>
        <w:tab/>
        <w:t>Aglutinação pelo látex</w:t>
      </w:r>
      <w:r w:rsidR="00635516">
        <w:rPr>
          <w:rFonts w:eastAsia="Calibri"/>
          <w:lang w:eastAsia="en-US"/>
        </w:rPr>
        <w:t xml:space="preserve"> (AL)</w:t>
      </w:r>
      <w:r>
        <w:rPr>
          <w:rFonts w:eastAsia="Calibri"/>
          <w:lang w:eastAsia="en-US"/>
        </w:rPr>
        <w:t xml:space="preserve"> </w:t>
      </w:r>
      <w:r w:rsidRPr="00FC488F">
        <w:rPr>
          <w:rFonts w:eastAsia="Calibri"/>
          <w:lang w:eastAsia="en-US"/>
        </w:rPr>
        <w:t xml:space="preserve">baseia-se na aglutinação das partículas de látex sensibilizadas com </w:t>
      </w:r>
      <w:proofErr w:type="spellStart"/>
      <w:r w:rsidRPr="00FC488F">
        <w:rPr>
          <w:rFonts w:eastAsia="Calibri"/>
          <w:lang w:eastAsia="en-US"/>
        </w:rPr>
        <w:t>estreptolisina</w:t>
      </w:r>
      <w:proofErr w:type="spellEnd"/>
      <w:r w:rsidRPr="00FC488F">
        <w:rPr>
          <w:rFonts w:eastAsia="Calibri"/>
          <w:lang w:eastAsia="en-US"/>
        </w:rPr>
        <w:t xml:space="preserve"> O (antígeno), quando misturadas com soro de pacientes contendo anticorpos específicos devido a infecção por estreptococos beta -hemolíticos dos grupos A e C</w:t>
      </w:r>
      <w:r w:rsidR="00546DA8">
        <w:rPr>
          <w:rFonts w:eastAsia="Calibri"/>
          <w:lang w:eastAsia="en-US"/>
        </w:rPr>
        <w:t xml:space="preserve"> produtores de </w:t>
      </w:r>
      <w:proofErr w:type="spellStart"/>
      <w:r w:rsidR="00546DA8">
        <w:rPr>
          <w:rFonts w:eastAsia="Calibri"/>
          <w:lang w:eastAsia="en-US"/>
        </w:rPr>
        <w:t>estreptolisina</w:t>
      </w:r>
      <w:proofErr w:type="spellEnd"/>
      <w:r w:rsidR="00546DA8">
        <w:rPr>
          <w:rFonts w:eastAsia="Calibri"/>
          <w:lang w:eastAsia="en-US"/>
        </w:rPr>
        <w:t xml:space="preserve"> O (</w:t>
      </w:r>
      <w:r w:rsidR="00546DA8" w:rsidRPr="00546DA8">
        <w:rPr>
          <w:rFonts w:eastAsia="Calibri"/>
          <w:lang w:eastAsia="en-US"/>
        </w:rPr>
        <w:t>TURGEON</w:t>
      </w:r>
      <w:r w:rsidR="00546DA8">
        <w:rPr>
          <w:rFonts w:eastAsia="Calibri"/>
          <w:lang w:eastAsia="en-US"/>
        </w:rPr>
        <w:t>, 1996).</w:t>
      </w:r>
    </w:p>
    <w:p w14:paraId="56E08F6E" w14:textId="77777777" w:rsidR="00546DA8" w:rsidRPr="00546DA8" w:rsidRDefault="00546DA8" w:rsidP="00546DA8">
      <w:pPr>
        <w:pStyle w:val="SemEspaamento"/>
        <w:rPr>
          <w:rFonts w:eastAsia="Calibri"/>
          <w:lang w:eastAsia="en-US"/>
        </w:rPr>
      </w:pPr>
      <w:r w:rsidRPr="0073613E">
        <w:rPr>
          <w:rFonts w:eastAsia="Calibri"/>
          <w:lang w:eastAsia="en-US"/>
        </w:rPr>
        <w:tab/>
      </w:r>
      <w:r w:rsidRPr="00546DA8">
        <w:rPr>
          <w:rFonts w:eastAsia="Calibri"/>
          <w:lang w:eastAsia="en-US"/>
        </w:rPr>
        <w:t>A imunofluorescência indireta baseia-se no</w:t>
      </w:r>
      <w:r>
        <w:rPr>
          <w:rFonts w:eastAsia="Calibri"/>
          <w:lang w:eastAsia="en-US"/>
        </w:rPr>
        <w:t xml:space="preserve"> princípio de uma dupla camada. É</w:t>
      </w:r>
      <w:r w:rsidRPr="00546DA8">
        <w:rPr>
          <w:rFonts w:eastAsia="Calibri"/>
          <w:lang w:eastAsia="en-US"/>
        </w:rPr>
        <w:t xml:space="preserve"> utilizada na detecção de anticorpos por antígenos impregnados em uma lâmina, onde se aplica primeiramente um anticor</w:t>
      </w:r>
      <w:r>
        <w:rPr>
          <w:rFonts w:eastAsia="Calibri"/>
          <w:lang w:eastAsia="en-US"/>
        </w:rPr>
        <w:t>po específico não fluorescente e, p</w:t>
      </w:r>
      <w:r w:rsidRPr="00546DA8">
        <w:rPr>
          <w:rFonts w:eastAsia="Calibri"/>
          <w:lang w:eastAsia="en-US"/>
        </w:rPr>
        <w:t>or fim, coloca-se um anticorpo fluorescente com especificidade marcada contra determinados antígenos do primeiro anticorpo usado para reagir com o antígeno</w:t>
      </w:r>
      <w:r>
        <w:rPr>
          <w:rFonts w:eastAsia="Calibri"/>
          <w:lang w:eastAsia="en-US"/>
        </w:rPr>
        <w:t xml:space="preserve"> (SILVA, 2020).</w:t>
      </w:r>
    </w:p>
    <w:p w14:paraId="7FEB5A54" w14:textId="77777777" w:rsidR="00E17092" w:rsidRDefault="003446C2" w:rsidP="0019621A">
      <w:pPr>
        <w:pStyle w:val="SemEspaamento"/>
        <w:rPr>
          <w:rFonts w:eastAsia="Calibri"/>
          <w:lang w:eastAsia="en-US"/>
        </w:rPr>
      </w:pPr>
      <w:r>
        <w:rPr>
          <w:rFonts w:eastAsia="Calibri"/>
          <w:lang w:eastAsia="en-US"/>
        </w:rPr>
        <w:tab/>
      </w:r>
      <w:r w:rsidRPr="003446C2">
        <w:rPr>
          <w:rFonts w:eastAsia="Calibri"/>
          <w:lang w:eastAsia="en-US"/>
        </w:rPr>
        <w:t>Além disso, a eletromiografia é utilizada como ferramenta para estabelecer o prognóstico da paralisia facial</w:t>
      </w:r>
      <w:r w:rsidR="00C608A6">
        <w:rPr>
          <w:rFonts w:eastAsia="Calibri"/>
          <w:lang w:eastAsia="en-US"/>
        </w:rPr>
        <w:t xml:space="preserve"> e identificar quais músculos foram afetados</w:t>
      </w:r>
      <w:r w:rsidRPr="003446C2">
        <w:rPr>
          <w:rFonts w:eastAsia="Calibri"/>
          <w:lang w:eastAsia="en-US"/>
        </w:rPr>
        <w:t xml:space="preserve">, </w:t>
      </w:r>
      <w:r w:rsidR="00C608A6">
        <w:rPr>
          <w:rFonts w:eastAsia="Calibri"/>
          <w:lang w:eastAsia="en-US"/>
        </w:rPr>
        <w:t xml:space="preserve">sendo realizada em torno de </w:t>
      </w:r>
      <w:r w:rsidRPr="003446C2">
        <w:rPr>
          <w:rFonts w:eastAsia="Calibri"/>
          <w:lang w:eastAsia="en-US"/>
        </w:rPr>
        <w:t>2 semanas apó</w:t>
      </w:r>
      <w:r w:rsidR="0019621A">
        <w:rPr>
          <w:rFonts w:eastAsia="Calibri"/>
          <w:lang w:eastAsia="en-US"/>
        </w:rPr>
        <w:t>s o aparecimento desta</w:t>
      </w:r>
      <w:r w:rsidR="000F088B">
        <w:rPr>
          <w:rFonts w:eastAsia="Calibri"/>
          <w:lang w:eastAsia="en-US"/>
        </w:rPr>
        <w:t xml:space="preserve"> (WEBER, 2005)</w:t>
      </w:r>
      <w:r w:rsidR="00E0777B">
        <w:rPr>
          <w:rFonts w:eastAsia="Calibri"/>
          <w:lang w:eastAsia="en-US"/>
        </w:rPr>
        <w:t>.</w:t>
      </w:r>
    </w:p>
    <w:p w14:paraId="02F553E3" w14:textId="77777777" w:rsidR="003446C2" w:rsidRPr="00AA236D" w:rsidRDefault="00C608A6" w:rsidP="00C608A6">
      <w:pPr>
        <w:pStyle w:val="SemEspaamento"/>
        <w:rPr>
          <w:rFonts w:eastAsia="Calibri"/>
          <w:lang w:eastAsia="en-US"/>
        </w:rPr>
      </w:pPr>
      <w:r>
        <w:rPr>
          <w:rFonts w:eastAsia="Calibri"/>
          <w:lang w:eastAsia="en-US"/>
        </w:rPr>
        <w:tab/>
        <w:t>Dentre as complicações presentes na</w:t>
      </w:r>
      <w:r>
        <w:rPr>
          <w:rFonts w:eastAsia="Calibri"/>
          <w:lang w:eastAsia="en-US"/>
        </w:rPr>
        <w:tab/>
        <w:t xml:space="preserve">síndrome, a mais comum </w:t>
      </w:r>
      <w:r w:rsidR="003446C2" w:rsidRPr="003446C2">
        <w:rPr>
          <w:rFonts w:eastAsia="Calibri"/>
          <w:lang w:eastAsia="en-US"/>
        </w:rPr>
        <w:t xml:space="preserve">é a neuralgia pós-herpética, seguida de neuropatias e meningoencefalite, </w:t>
      </w:r>
      <w:r>
        <w:rPr>
          <w:rFonts w:eastAsia="Calibri"/>
          <w:lang w:eastAsia="en-US"/>
        </w:rPr>
        <w:t xml:space="preserve">dando-se assim a necessidade de </w:t>
      </w:r>
      <w:r w:rsidR="003446C2" w:rsidRPr="003446C2">
        <w:rPr>
          <w:rFonts w:eastAsia="Calibri"/>
          <w:lang w:eastAsia="en-US"/>
        </w:rPr>
        <w:t>acompanhamento cuidadoso desses pacientes para preveni-los e detectá-los precocemente</w:t>
      </w:r>
      <w:r w:rsidR="00AD30D4">
        <w:rPr>
          <w:rFonts w:eastAsia="Calibri"/>
          <w:lang w:eastAsia="en-US"/>
        </w:rPr>
        <w:t xml:space="preserve"> </w:t>
      </w:r>
      <w:r w:rsidR="000F088B">
        <w:rPr>
          <w:rFonts w:eastAsia="Calibri"/>
          <w:lang w:eastAsia="en-US"/>
        </w:rPr>
        <w:t>(PORTELLA et al</w:t>
      </w:r>
      <w:r w:rsidR="00AD30D4">
        <w:rPr>
          <w:rFonts w:eastAsia="Calibri"/>
          <w:lang w:eastAsia="en-US"/>
        </w:rPr>
        <w:t>.</w:t>
      </w:r>
      <w:r w:rsidR="000F088B">
        <w:rPr>
          <w:rFonts w:eastAsia="Calibri"/>
          <w:lang w:eastAsia="en-US"/>
        </w:rPr>
        <w:t>, 2013).</w:t>
      </w:r>
    </w:p>
    <w:p w14:paraId="189FD940" w14:textId="77777777" w:rsidR="0061231C" w:rsidRDefault="0061231C" w:rsidP="00981C90">
      <w:pPr>
        <w:pStyle w:val="SemEspaamento"/>
        <w:rPr>
          <w:rFonts w:eastAsia="Calibri"/>
          <w:lang w:eastAsia="en-US"/>
        </w:rPr>
      </w:pPr>
      <w:r>
        <w:rPr>
          <w:rFonts w:eastAsia="Calibri"/>
          <w:lang w:eastAsia="en-US"/>
        </w:rPr>
        <w:tab/>
        <w:t xml:space="preserve">Considerando os aspectos já conhecidos acerca da </w:t>
      </w:r>
      <w:r w:rsidRPr="0061231C">
        <w:rPr>
          <w:rFonts w:eastAsia="Calibri"/>
          <w:lang w:eastAsia="en-US"/>
        </w:rPr>
        <w:t xml:space="preserve">paralisia facial ocasionada </w:t>
      </w:r>
      <w:r w:rsidR="00DA2872" w:rsidRPr="0061231C">
        <w:rPr>
          <w:rFonts w:eastAsia="Calibri"/>
          <w:lang w:eastAsia="en-US"/>
        </w:rPr>
        <w:t>pelos herpes</w:t>
      </w:r>
      <w:r w:rsidRPr="0061231C">
        <w:rPr>
          <w:rFonts w:eastAsia="Calibri"/>
          <w:lang w:eastAsia="en-US"/>
        </w:rPr>
        <w:t xml:space="preserve"> zoster</w:t>
      </w:r>
      <w:r w:rsidR="004008BA">
        <w:rPr>
          <w:rFonts w:eastAsia="Calibri"/>
          <w:lang w:eastAsia="en-US"/>
        </w:rPr>
        <w:t xml:space="preserve">, </w:t>
      </w:r>
      <w:r w:rsidR="004008BA" w:rsidRPr="004008BA">
        <w:rPr>
          <w:rFonts w:eastAsia="Calibri"/>
          <w:lang w:eastAsia="en-US"/>
        </w:rPr>
        <w:t>este artigo busca realizar uma revisão bibliográfica sobre o assunto, unificando e detalhando aspectos acerca da fisiopatologia, manifestações clínicas, diagnósticos diferenciais, manejo e prognóstico dos pacientes</w:t>
      </w:r>
      <w:r w:rsidR="00E93D83">
        <w:rPr>
          <w:rFonts w:eastAsia="Calibri"/>
          <w:lang w:eastAsia="en-US"/>
        </w:rPr>
        <w:t>, observando o que a literatura atual aborda sobre o assunto</w:t>
      </w:r>
      <w:r w:rsidR="004008BA" w:rsidRPr="004008BA">
        <w:rPr>
          <w:rFonts w:eastAsia="Calibri"/>
          <w:lang w:eastAsia="en-US"/>
        </w:rPr>
        <w:t>.</w:t>
      </w:r>
    </w:p>
    <w:p w14:paraId="475E1F0E" w14:textId="77777777" w:rsidR="000F088B" w:rsidRDefault="000F088B" w:rsidP="00981C90">
      <w:pPr>
        <w:pStyle w:val="SemEspaamento"/>
        <w:rPr>
          <w:rFonts w:eastAsia="Calibri"/>
          <w:lang w:eastAsia="en-US"/>
        </w:rPr>
      </w:pPr>
    </w:p>
    <w:p w14:paraId="00DA2C6A" w14:textId="77777777" w:rsidR="005D1AC9" w:rsidRPr="00502375" w:rsidRDefault="00A5081A" w:rsidP="00502375">
      <w:pPr>
        <w:pStyle w:val="SemEspaamento"/>
        <w:rPr>
          <w:b/>
          <w:bCs/>
        </w:rPr>
      </w:pPr>
      <w:r w:rsidRPr="00502375">
        <w:rPr>
          <w:b/>
          <w:bCs/>
        </w:rPr>
        <w:t>METODOLOGIA</w:t>
      </w:r>
    </w:p>
    <w:p w14:paraId="4CE68732" w14:textId="77777777" w:rsidR="003236F4" w:rsidRPr="00502375" w:rsidRDefault="003236F4" w:rsidP="000F0354">
      <w:pPr>
        <w:spacing w:after="0" w:line="240" w:lineRule="auto"/>
        <w:ind w:hanging="2"/>
        <w:jc w:val="both"/>
        <w:rPr>
          <w:rFonts w:ascii="Times New Roman" w:hAnsi="Times New Roman"/>
          <w:b/>
          <w:bCs/>
          <w:sz w:val="24"/>
          <w:szCs w:val="24"/>
        </w:rPr>
      </w:pPr>
    </w:p>
    <w:p w14:paraId="42DD54D8" w14:textId="77777777" w:rsidR="000F0354" w:rsidRPr="00DD5396" w:rsidRDefault="005D1AC9" w:rsidP="00D47C57">
      <w:pPr>
        <w:pStyle w:val="SemEspaamento"/>
      </w:pPr>
      <w:r w:rsidRPr="007B117A">
        <w:rPr>
          <w:szCs w:val="24"/>
        </w:rPr>
        <w:tab/>
      </w:r>
      <w:r w:rsidR="000F0354" w:rsidRPr="00DD5396">
        <w:t>Foi realizado uma revisão bibliog</w:t>
      </w:r>
      <w:r w:rsidR="000F088B" w:rsidRPr="00DD5396">
        <w:t xml:space="preserve">ráfica, com artigos </w:t>
      </w:r>
      <w:commentRangeStart w:id="2"/>
      <w:r w:rsidR="000F088B" w:rsidRPr="00DD5396">
        <w:t>até</w:t>
      </w:r>
      <w:commentRangeEnd w:id="2"/>
      <w:r w:rsidR="00635516">
        <w:rPr>
          <w:rStyle w:val="Refdecomentrio"/>
          <w:rFonts w:ascii="Calibri" w:eastAsia="Calibri" w:hAnsi="Calibri" w:cs="Times New Roman"/>
          <w:lang w:eastAsia="en-US"/>
        </w:rPr>
        <w:commentReference w:id="2"/>
      </w:r>
      <w:r w:rsidR="000F088B" w:rsidRPr="00DD5396">
        <w:t xml:space="preserve"> o ano de</w:t>
      </w:r>
      <w:r w:rsidR="000F0354" w:rsidRPr="00DD5396">
        <w:t xml:space="preserve"> 2020</w:t>
      </w:r>
      <w:r w:rsidR="00AE6C39" w:rsidRPr="00DD5396">
        <w:t xml:space="preserve"> na língua portuguesa e inglesa</w:t>
      </w:r>
      <w:r w:rsidR="000F0354" w:rsidRPr="00DD5396">
        <w:t xml:space="preserve">, buscando como tema a paralisia facial ocasionada </w:t>
      </w:r>
      <w:proofErr w:type="gramStart"/>
      <w:r w:rsidR="000F0354" w:rsidRPr="00DD5396">
        <w:t>pela herpes</w:t>
      </w:r>
      <w:proofErr w:type="gramEnd"/>
      <w:r w:rsidR="000F0354" w:rsidRPr="00DD5396">
        <w:t xml:space="preserve"> zoster, que envolvesse fisiopatologia, manifestações clínicas, diagnósticos diferenciais, manejo e prognóstico dos pacientes. </w:t>
      </w:r>
      <w:r w:rsidR="003236F4" w:rsidRPr="00DD5396">
        <w:t xml:space="preserve">Os </w:t>
      </w:r>
      <w:r w:rsidR="000F0354" w:rsidRPr="00DD5396">
        <w:t xml:space="preserve">artigos </w:t>
      </w:r>
      <w:r w:rsidR="003236F4" w:rsidRPr="00DD5396">
        <w:t xml:space="preserve">utilizados foram pesquisados </w:t>
      </w:r>
      <w:r w:rsidR="000F0354" w:rsidRPr="00DD5396">
        <w:t xml:space="preserve">nas bases de dados </w:t>
      </w:r>
      <w:proofErr w:type="spellStart"/>
      <w:r w:rsidR="000F0354" w:rsidRPr="00DD5396">
        <w:t>PubMed</w:t>
      </w:r>
      <w:proofErr w:type="spellEnd"/>
      <w:r w:rsidR="000F0354" w:rsidRPr="00DD5396">
        <w:t xml:space="preserve"> e </w:t>
      </w:r>
      <w:proofErr w:type="spellStart"/>
      <w:r w:rsidR="000F0354" w:rsidRPr="00DD5396">
        <w:t>Scielo</w:t>
      </w:r>
      <w:proofErr w:type="spellEnd"/>
      <w:r w:rsidR="003236F4" w:rsidRPr="00DD5396">
        <w:t>,</w:t>
      </w:r>
      <w:r w:rsidR="000F0354" w:rsidRPr="00DD5396">
        <w:t xml:space="preserve"> com as palavras chave: </w:t>
      </w:r>
      <w:r w:rsidR="003236F4" w:rsidRPr="00DD5396">
        <w:t xml:space="preserve">“Herpes Zoster </w:t>
      </w:r>
      <w:proofErr w:type="spellStart"/>
      <w:r w:rsidR="003236F4" w:rsidRPr="00DD5396">
        <w:t>Oticus</w:t>
      </w:r>
      <w:proofErr w:type="spellEnd"/>
      <w:r w:rsidR="003236F4" w:rsidRPr="00DD5396">
        <w:t>”</w:t>
      </w:r>
      <w:r w:rsidR="002B6548" w:rsidRPr="00DD5396">
        <w:t>, “</w:t>
      </w:r>
      <w:proofErr w:type="spellStart"/>
      <w:r w:rsidR="002B6548" w:rsidRPr="00DD5396">
        <w:t>Hamsay</w:t>
      </w:r>
      <w:proofErr w:type="spellEnd"/>
      <w:r w:rsidR="002B6548" w:rsidRPr="00DD5396">
        <w:t xml:space="preserve"> Hunt” e</w:t>
      </w:r>
      <w:r w:rsidR="003236F4" w:rsidRPr="00DD5396">
        <w:t xml:space="preserve"> “Facial </w:t>
      </w:r>
      <w:proofErr w:type="spellStart"/>
      <w:r w:rsidR="003236F4" w:rsidRPr="00DD5396">
        <w:t>Paralysis</w:t>
      </w:r>
      <w:proofErr w:type="spellEnd"/>
      <w:r w:rsidR="002B6548" w:rsidRPr="00DD5396">
        <w:t>”.</w:t>
      </w:r>
    </w:p>
    <w:p w14:paraId="400CB2F1" w14:textId="77777777" w:rsidR="00874EF5" w:rsidRPr="00DD5396" w:rsidRDefault="000F0354" w:rsidP="00D47C57">
      <w:pPr>
        <w:pStyle w:val="SemEspaamento"/>
      </w:pPr>
      <w:r w:rsidRPr="00DD5396">
        <w:t xml:space="preserve">Para critérios de elegibilidade coletamos dados de artigos que detalhavam aspectos acerca da Síndrome de </w:t>
      </w:r>
      <w:proofErr w:type="spellStart"/>
      <w:r w:rsidRPr="00DD5396">
        <w:t>Hamsay</w:t>
      </w:r>
      <w:proofErr w:type="spellEnd"/>
      <w:r w:rsidRPr="00DD5396">
        <w:t xml:space="preserve"> Hunt</w:t>
      </w:r>
      <w:r w:rsidR="003236F4" w:rsidRPr="00DD5396">
        <w:t xml:space="preserve"> e suas conclusões</w:t>
      </w:r>
      <w:r w:rsidRPr="00DD5396">
        <w:t>, usando como critérios de exclusão qualquer estudo que não tivesse relação com a síndrome</w:t>
      </w:r>
      <w:r w:rsidR="003236F4" w:rsidRPr="00DD5396">
        <w:t xml:space="preserve"> ou abordasse outra</w:t>
      </w:r>
      <w:r w:rsidR="00E47BE7" w:rsidRPr="00DD5396">
        <w:t>s</w:t>
      </w:r>
      <w:r w:rsidR="003236F4" w:rsidRPr="00DD5396">
        <w:t xml:space="preserve"> síndrome</w:t>
      </w:r>
      <w:r w:rsidR="00E47BE7" w:rsidRPr="00DD5396">
        <w:t>s</w:t>
      </w:r>
      <w:r w:rsidRPr="00DD5396">
        <w:t>, não fosse laboratorial, não estiv</w:t>
      </w:r>
      <w:r w:rsidR="00E47BE7" w:rsidRPr="00DD5396">
        <w:t xml:space="preserve">esse dentro dos anos propostos e </w:t>
      </w:r>
      <w:r w:rsidRPr="00DD5396">
        <w:t>revisão de literatura</w:t>
      </w:r>
      <w:r w:rsidR="003236F4" w:rsidRPr="00DD5396">
        <w:t>.</w:t>
      </w:r>
    </w:p>
    <w:p w14:paraId="4239A489" w14:textId="77777777" w:rsidR="000F0354" w:rsidRPr="00DD5396" w:rsidRDefault="000F0354" w:rsidP="00D47C57">
      <w:pPr>
        <w:pStyle w:val="SemEspaamento"/>
        <w:rPr>
          <w:b/>
          <w:bCs/>
        </w:rPr>
      </w:pPr>
    </w:p>
    <w:p w14:paraId="386A0592" w14:textId="77777777" w:rsidR="005D1AC9" w:rsidRPr="007B117A" w:rsidRDefault="00A5081A" w:rsidP="005D1AC9">
      <w:pPr>
        <w:pStyle w:val="Ttulo1"/>
        <w:tabs>
          <w:tab w:val="clear" w:pos="6840"/>
        </w:tabs>
        <w:spacing w:line="240" w:lineRule="auto"/>
      </w:pPr>
      <w:r w:rsidRPr="007B117A">
        <w:t>RESULTADOS E DISCUSSÃO</w:t>
      </w:r>
    </w:p>
    <w:p w14:paraId="566477CC" w14:textId="77777777" w:rsidR="005D1AC9" w:rsidRPr="007B117A" w:rsidRDefault="005D1AC9" w:rsidP="005D1AC9">
      <w:pPr>
        <w:spacing w:after="0" w:line="240" w:lineRule="auto"/>
        <w:jc w:val="both"/>
        <w:rPr>
          <w:rFonts w:ascii="Times New Roman" w:hAnsi="Times New Roman"/>
          <w:sz w:val="24"/>
          <w:szCs w:val="24"/>
        </w:rPr>
      </w:pPr>
    </w:p>
    <w:p w14:paraId="6754AB11" w14:textId="746287C6" w:rsidR="005D6C16" w:rsidRDefault="00635516" w:rsidP="00182D6B">
      <w:pPr>
        <w:pStyle w:val="SemEspaamento"/>
      </w:pPr>
      <w:r>
        <w:rPr>
          <w:szCs w:val="24"/>
        </w:rPr>
        <w:tab/>
      </w:r>
      <w:r w:rsidR="002B6548" w:rsidRPr="00182D6B">
        <w:rPr>
          <w:szCs w:val="24"/>
        </w:rPr>
        <w:t>Foram encontrados</w:t>
      </w:r>
      <w:r w:rsidR="002B6548">
        <w:rPr>
          <w:highlight w:val="white"/>
        </w:rPr>
        <w:t xml:space="preserve"> um total de 75 artigos, onde 2 estavam </w:t>
      </w:r>
      <w:r w:rsidR="0057321C">
        <w:rPr>
          <w:highlight w:val="white"/>
        </w:rPr>
        <w:t>disponíveis</w:t>
      </w:r>
      <w:r w:rsidR="00811427">
        <w:rPr>
          <w:highlight w:val="white"/>
        </w:rPr>
        <w:t xml:space="preserve"> na </w:t>
      </w:r>
      <w:proofErr w:type="spellStart"/>
      <w:r w:rsidR="00811427">
        <w:rPr>
          <w:highlight w:val="white"/>
        </w:rPr>
        <w:t>Scielo</w:t>
      </w:r>
      <w:proofErr w:type="spellEnd"/>
      <w:r w:rsidR="00811427">
        <w:rPr>
          <w:highlight w:val="white"/>
        </w:rPr>
        <w:t xml:space="preserve"> e 73 na </w:t>
      </w:r>
      <w:proofErr w:type="spellStart"/>
      <w:r w:rsidR="00811427">
        <w:rPr>
          <w:highlight w:val="white"/>
        </w:rPr>
        <w:t>Pubmed</w:t>
      </w:r>
      <w:proofErr w:type="spellEnd"/>
      <w:r w:rsidR="00811427">
        <w:t xml:space="preserve"> e, </w:t>
      </w:r>
      <w:r w:rsidR="002B6548">
        <w:t>a</w:t>
      </w:r>
      <w:r w:rsidR="002B6548" w:rsidRPr="00A50C69">
        <w:t>pós análise dos artigos e aplicação dos critérios de inclusão e exclusão</w:t>
      </w:r>
      <w:r w:rsidR="002B6548">
        <w:t xml:space="preserve">, </w:t>
      </w:r>
      <w:commentRangeStart w:id="3"/>
      <w:r w:rsidR="00AF4FD4">
        <w:t>3</w:t>
      </w:r>
      <w:commentRangeEnd w:id="3"/>
      <w:r>
        <w:rPr>
          <w:rStyle w:val="Refdecomentrio"/>
          <w:rFonts w:ascii="Calibri" w:eastAsia="Calibri" w:hAnsi="Calibri" w:cs="Times New Roman"/>
          <w:lang w:eastAsia="en-US"/>
        </w:rPr>
        <w:commentReference w:id="3"/>
      </w:r>
      <w:r w:rsidR="002B6548" w:rsidRPr="00A50C69">
        <w:t xml:space="preserve"> artigos se enquadram </w:t>
      </w:r>
      <w:r w:rsidR="00811427">
        <w:t>na proposta do presente estud</w:t>
      </w:r>
      <w:r w:rsidR="00BE686E">
        <w:t>o.</w:t>
      </w:r>
    </w:p>
    <w:p w14:paraId="3633A2D6" w14:textId="77777777" w:rsidR="006176F5" w:rsidRDefault="006176F5" w:rsidP="00182D6B">
      <w:pPr>
        <w:pStyle w:val="SemEspaamento"/>
      </w:pPr>
    </w:p>
    <w:p w14:paraId="75FAC8A6" w14:textId="77777777" w:rsidR="006176F5" w:rsidRDefault="006176F5" w:rsidP="005D6C16">
      <w:pPr>
        <w:spacing w:after="0" w:line="240" w:lineRule="auto"/>
        <w:ind w:firstLine="720"/>
        <w:jc w:val="both"/>
        <w:rPr>
          <w:rFonts w:ascii="Times New Roman" w:eastAsia="Times New Roman" w:hAnsi="Times New Roman"/>
          <w:sz w:val="24"/>
          <w:szCs w:val="24"/>
        </w:rPr>
      </w:pPr>
      <w:r w:rsidRPr="00182D6B">
        <w:rPr>
          <w:rFonts w:ascii="Times New Roman" w:eastAsia="Arial" w:hAnsi="Times New Roman" w:cs="Arial"/>
          <w:sz w:val="24"/>
          <w:lang w:eastAsia="pt-BR"/>
        </w:rPr>
        <w:t xml:space="preserve">Quadro 1 – Alguns autores e os achados clínicos a respeito da Síndrome </w:t>
      </w:r>
      <w:proofErr w:type="spellStart"/>
      <w:r w:rsidRPr="00182D6B">
        <w:rPr>
          <w:rFonts w:ascii="Times New Roman" w:eastAsia="Arial" w:hAnsi="Times New Roman" w:cs="Arial"/>
          <w:sz w:val="24"/>
          <w:lang w:eastAsia="pt-BR"/>
        </w:rPr>
        <w:t>Ramsay</w:t>
      </w:r>
      <w:proofErr w:type="spellEnd"/>
      <w:r w:rsidRPr="00182D6B">
        <w:rPr>
          <w:rFonts w:ascii="Times New Roman" w:eastAsia="Arial" w:hAnsi="Times New Roman" w:cs="Arial"/>
          <w:sz w:val="24"/>
          <w:lang w:eastAsia="pt-BR"/>
        </w:rPr>
        <w:t xml:space="preserve"> Hunt</w:t>
      </w:r>
      <w:r w:rsidR="00182D6B">
        <w:t xml:space="preserve">. </w:t>
      </w:r>
    </w:p>
    <w:tbl>
      <w:tblPr>
        <w:tblStyle w:val="Tabelacomgrade"/>
        <w:tblW w:w="0" w:type="auto"/>
        <w:tblLook w:val="04A0" w:firstRow="1" w:lastRow="0" w:firstColumn="1" w:lastColumn="0" w:noHBand="0" w:noVBand="1"/>
      </w:tblPr>
      <w:tblGrid>
        <w:gridCol w:w="2216"/>
        <w:gridCol w:w="2201"/>
        <w:gridCol w:w="2361"/>
        <w:gridCol w:w="2282"/>
      </w:tblGrid>
      <w:tr w:rsidR="003B7EBD" w14:paraId="7B915362" w14:textId="77777777" w:rsidTr="003B7EBD">
        <w:trPr>
          <w:trHeight w:val="367"/>
        </w:trPr>
        <w:tc>
          <w:tcPr>
            <w:tcW w:w="2216" w:type="dxa"/>
          </w:tcPr>
          <w:p w14:paraId="30F09180" w14:textId="77777777" w:rsidR="006176F5" w:rsidRPr="00182D6B" w:rsidRDefault="006176F5" w:rsidP="00182D6B">
            <w:pPr>
              <w:pStyle w:val="SemEspaamento"/>
              <w:rPr>
                <w:b/>
              </w:rPr>
            </w:pPr>
            <w:r w:rsidRPr="00182D6B">
              <w:rPr>
                <w:b/>
              </w:rPr>
              <w:t>Autores</w:t>
            </w:r>
          </w:p>
        </w:tc>
        <w:tc>
          <w:tcPr>
            <w:tcW w:w="2201" w:type="dxa"/>
          </w:tcPr>
          <w:p w14:paraId="180AA575" w14:textId="77777777" w:rsidR="006176F5" w:rsidRPr="00182D6B" w:rsidRDefault="006176F5" w:rsidP="00182D6B">
            <w:pPr>
              <w:pStyle w:val="SemEspaamento"/>
              <w:rPr>
                <w:b/>
              </w:rPr>
            </w:pPr>
            <w:r w:rsidRPr="00182D6B">
              <w:rPr>
                <w:b/>
              </w:rPr>
              <w:t>Etiologia</w:t>
            </w:r>
          </w:p>
        </w:tc>
        <w:tc>
          <w:tcPr>
            <w:tcW w:w="2361" w:type="dxa"/>
          </w:tcPr>
          <w:p w14:paraId="6B7A37B1" w14:textId="77777777" w:rsidR="006176F5" w:rsidRPr="00182D6B" w:rsidRDefault="006176F5" w:rsidP="00182D6B">
            <w:pPr>
              <w:pStyle w:val="SemEspaamento"/>
              <w:rPr>
                <w:b/>
              </w:rPr>
            </w:pPr>
            <w:r w:rsidRPr="00182D6B">
              <w:rPr>
                <w:b/>
              </w:rPr>
              <w:t>Manifestação clínica</w:t>
            </w:r>
          </w:p>
        </w:tc>
        <w:tc>
          <w:tcPr>
            <w:tcW w:w="2006" w:type="dxa"/>
          </w:tcPr>
          <w:p w14:paraId="4AB7785D" w14:textId="77777777" w:rsidR="006176F5" w:rsidRPr="00182D6B" w:rsidRDefault="006176F5" w:rsidP="00182D6B">
            <w:pPr>
              <w:pStyle w:val="SemEspaamento"/>
              <w:rPr>
                <w:b/>
              </w:rPr>
            </w:pPr>
            <w:r w:rsidRPr="00182D6B">
              <w:rPr>
                <w:b/>
              </w:rPr>
              <w:t>Diagnóstico</w:t>
            </w:r>
          </w:p>
        </w:tc>
      </w:tr>
      <w:tr w:rsidR="003B7EBD" w14:paraId="3B10F386" w14:textId="77777777" w:rsidTr="003B7EBD">
        <w:trPr>
          <w:trHeight w:val="1635"/>
        </w:trPr>
        <w:tc>
          <w:tcPr>
            <w:tcW w:w="2216" w:type="dxa"/>
          </w:tcPr>
          <w:p w14:paraId="1138E15F" w14:textId="77777777" w:rsidR="006176F5" w:rsidRDefault="00BE686E" w:rsidP="00182D6B">
            <w:pPr>
              <w:pStyle w:val="SemEspaamento"/>
            </w:pPr>
            <w:r>
              <w:t>TSAI</w:t>
            </w:r>
            <w:r w:rsidR="006176F5" w:rsidRPr="00DC4F30">
              <w:t>, et al. (2012)</w:t>
            </w:r>
          </w:p>
        </w:tc>
        <w:tc>
          <w:tcPr>
            <w:tcW w:w="2201" w:type="dxa"/>
          </w:tcPr>
          <w:p w14:paraId="4E2ABC46" w14:textId="77777777" w:rsidR="006176F5" w:rsidRDefault="006176F5" w:rsidP="00182D6B">
            <w:pPr>
              <w:pStyle w:val="SemEspaamento"/>
            </w:pPr>
            <w:r>
              <w:t>Varicela zoster</w:t>
            </w:r>
          </w:p>
        </w:tc>
        <w:tc>
          <w:tcPr>
            <w:tcW w:w="2361" w:type="dxa"/>
          </w:tcPr>
          <w:p w14:paraId="58859D33" w14:textId="77777777" w:rsidR="006176F5" w:rsidRPr="006176F5" w:rsidRDefault="006176F5" w:rsidP="00182D6B">
            <w:pPr>
              <w:pStyle w:val="SemEspaamento"/>
            </w:pPr>
            <w:r w:rsidRPr="006176F5">
              <w:t>Fraqueza facial periférica aguda</w:t>
            </w:r>
          </w:p>
        </w:tc>
        <w:tc>
          <w:tcPr>
            <w:tcW w:w="2006" w:type="dxa"/>
          </w:tcPr>
          <w:p w14:paraId="18EC8A37" w14:textId="53053362" w:rsidR="00512A6B" w:rsidRDefault="00512A6B" w:rsidP="00182D6B">
            <w:pPr>
              <w:pStyle w:val="SemEspaamento"/>
            </w:pPr>
            <w:r>
              <w:t xml:space="preserve">Sorologia para </w:t>
            </w:r>
            <w:r w:rsidRPr="00DC4F30">
              <w:t>anticorpo IgG</w:t>
            </w:r>
            <w:r w:rsidR="00635516">
              <w:t xml:space="preserve"> </w:t>
            </w:r>
            <w:proofErr w:type="spellStart"/>
            <w:r w:rsidRPr="00DC4F30">
              <w:t>anti-vírus</w:t>
            </w:r>
            <w:proofErr w:type="spellEnd"/>
            <w:r w:rsidRPr="00DC4F30">
              <w:t xml:space="preserve"> varicela zoster</w:t>
            </w:r>
            <w:r w:rsidR="001D4BCC">
              <w:t>;</w:t>
            </w:r>
          </w:p>
          <w:p w14:paraId="457F2DE8" w14:textId="77777777" w:rsidR="00512A6B" w:rsidRDefault="00512A6B" w:rsidP="00182D6B">
            <w:pPr>
              <w:pStyle w:val="SemEspaamento"/>
            </w:pPr>
            <w:r>
              <w:t>Ressonância magnética</w:t>
            </w:r>
          </w:p>
        </w:tc>
      </w:tr>
      <w:tr w:rsidR="003B7EBD" w14:paraId="3C7B52DC" w14:textId="77777777" w:rsidTr="00455D9A">
        <w:trPr>
          <w:trHeight w:val="1262"/>
        </w:trPr>
        <w:tc>
          <w:tcPr>
            <w:tcW w:w="2216" w:type="dxa"/>
          </w:tcPr>
          <w:p w14:paraId="145B3825" w14:textId="77777777" w:rsidR="006176F5" w:rsidRDefault="00BE686E" w:rsidP="00182D6B">
            <w:pPr>
              <w:pStyle w:val="SemEspaamento"/>
            </w:pPr>
            <w:r>
              <w:t>SHIN</w:t>
            </w:r>
            <w:r w:rsidR="00512A6B">
              <w:t>, et al. (2016)</w:t>
            </w:r>
          </w:p>
        </w:tc>
        <w:tc>
          <w:tcPr>
            <w:tcW w:w="2201" w:type="dxa"/>
          </w:tcPr>
          <w:p w14:paraId="0A859C77" w14:textId="77777777" w:rsidR="006176F5" w:rsidRDefault="001D4BCC" w:rsidP="00182D6B">
            <w:pPr>
              <w:pStyle w:val="SemEspaamento"/>
            </w:pPr>
            <w:r>
              <w:t>HZO (Herpes-Zoster oftálmica)</w:t>
            </w:r>
          </w:p>
        </w:tc>
        <w:tc>
          <w:tcPr>
            <w:tcW w:w="2361" w:type="dxa"/>
          </w:tcPr>
          <w:p w14:paraId="42D03D79" w14:textId="77777777" w:rsidR="006176F5" w:rsidRDefault="001D4BCC" w:rsidP="00182D6B">
            <w:pPr>
              <w:pStyle w:val="SemEspaamento"/>
            </w:pPr>
            <w:r>
              <w:t>Paralisia</w:t>
            </w:r>
            <w:r w:rsidRPr="00E93D83">
              <w:t xml:space="preserve"> facial</w:t>
            </w:r>
            <w:r>
              <w:t xml:space="preserve">; </w:t>
            </w:r>
            <w:r w:rsidR="00D33272">
              <w:t>V</w:t>
            </w:r>
            <w:r w:rsidRPr="00E93D83">
              <w:t>ertigem</w:t>
            </w:r>
          </w:p>
          <w:p w14:paraId="49D3264B" w14:textId="77777777" w:rsidR="001D4BCC" w:rsidRDefault="001D4BCC" w:rsidP="00182D6B">
            <w:pPr>
              <w:pStyle w:val="SemEspaamento"/>
            </w:pPr>
          </w:p>
        </w:tc>
        <w:tc>
          <w:tcPr>
            <w:tcW w:w="2006" w:type="dxa"/>
          </w:tcPr>
          <w:p w14:paraId="4470F532" w14:textId="77777777" w:rsidR="006176F5" w:rsidRDefault="00781248" w:rsidP="00182D6B">
            <w:pPr>
              <w:pStyle w:val="SemEspaamento"/>
            </w:pPr>
            <w:r>
              <w:t>Eletroneuromiografia</w:t>
            </w:r>
          </w:p>
        </w:tc>
      </w:tr>
      <w:tr w:rsidR="003B7EBD" w14:paraId="7FDC6857" w14:textId="77777777" w:rsidTr="00455D9A">
        <w:trPr>
          <w:trHeight w:val="1110"/>
        </w:trPr>
        <w:tc>
          <w:tcPr>
            <w:tcW w:w="2216" w:type="dxa"/>
          </w:tcPr>
          <w:p w14:paraId="622697A3" w14:textId="66245A22" w:rsidR="006176F5" w:rsidRDefault="00781248" w:rsidP="00182D6B">
            <w:pPr>
              <w:pStyle w:val="SemEspaamento"/>
            </w:pPr>
            <w:r w:rsidRPr="00071649">
              <w:t>L</w:t>
            </w:r>
            <w:r w:rsidR="00BE686E">
              <w:t>INDSTRO</w:t>
            </w:r>
            <w:r w:rsidR="00E95A56">
              <w:t>M</w:t>
            </w:r>
            <w:r w:rsidRPr="00071649">
              <w:t xml:space="preserve">, </w:t>
            </w:r>
            <w:r>
              <w:t xml:space="preserve">et al </w:t>
            </w:r>
            <w:r w:rsidRPr="00071649">
              <w:t>(2016)</w:t>
            </w:r>
          </w:p>
        </w:tc>
        <w:tc>
          <w:tcPr>
            <w:tcW w:w="2201" w:type="dxa"/>
          </w:tcPr>
          <w:p w14:paraId="7D94409F" w14:textId="77777777" w:rsidR="006176F5" w:rsidRDefault="00781248" w:rsidP="00182D6B">
            <w:pPr>
              <w:pStyle w:val="SemEspaamento"/>
            </w:pPr>
            <w:r>
              <w:t>Varicela zoster</w:t>
            </w:r>
          </w:p>
        </w:tc>
        <w:tc>
          <w:tcPr>
            <w:tcW w:w="2361" w:type="dxa"/>
          </w:tcPr>
          <w:p w14:paraId="3B800FFE" w14:textId="77777777" w:rsidR="006176F5" w:rsidRDefault="00781248" w:rsidP="00182D6B">
            <w:pPr>
              <w:pStyle w:val="SemEspaamento"/>
            </w:pPr>
            <w:r>
              <w:t xml:space="preserve">Dano neuronal;  </w:t>
            </w:r>
            <w:proofErr w:type="spellStart"/>
            <w:r>
              <w:t>Astrogliose</w:t>
            </w:r>
            <w:proofErr w:type="spellEnd"/>
          </w:p>
        </w:tc>
        <w:tc>
          <w:tcPr>
            <w:tcW w:w="2006" w:type="dxa"/>
          </w:tcPr>
          <w:p w14:paraId="3AF26368" w14:textId="77777777" w:rsidR="006176F5" w:rsidRDefault="00857C7B" w:rsidP="00182D6B">
            <w:pPr>
              <w:pStyle w:val="SemEspaamento"/>
            </w:pPr>
            <w:proofErr w:type="spellStart"/>
            <w:r w:rsidRPr="00857C7B">
              <w:t>Imunoquímicos</w:t>
            </w:r>
            <w:proofErr w:type="spellEnd"/>
            <w:r>
              <w:t xml:space="preserve">; </w:t>
            </w:r>
            <w:r w:rsidRPr="00CE046C">
              <w:t>PCR quantitativo</w:t>
            </w:r>
            <w:r>
              <w:t>;</w:t>
            </w:r>
          </w:p>
        </w:tc>
      </w:tr>
      <w:tr w:rsidR="003B7EBD" w14:paraId="3B520D41" w14:textId="77777777" w:rsidTr="003B7EBD">
        <w:trPr>
          <w:trHeight w:val="1418"/>
        </w:trPr>
        <w:tc>
          <w:tcPr>
            <w:tcW w:w="2216" w:type="dxa"/>
          </w:tcPr>
          <w:p w14:paraId="459BD076" w14:textId="77777777" w:rsidR="006176F5" w:rsidRDefault="00BE686E" w:rsidP="00182D6B">
            <w:pPr>
              <w:pStyle w:val="SemEspaamento"/>
            </w:pPr>
            <w:r w:rsidRPr="00BE686E">
              <w:rPr>
                <w:lang w:eastAsia="en-US"/>
              </w:rPr>
              <w:t>LÁZARI</w:t>
            </w:r>
            <w:r>
              <w:t xml:space="preserve"> (2015)</w:t>
            </w:r>
          </w:p>
        </w:tc>
        <w:tc>
          <w:tcPr>
            <w:tcW w:w="2201" w:type="dxa"/>
          </w:tcPr>
          <w:p w14:paraId="05990647" w14:textId="77777777" w:rsidR="006176F5" w:rsidRDefault="00BE686E" w:rsidP="00182D6B">
            <w:pPr>
              <w:pStyle w:val="SemEspaamento"/>
            </w:pPr>
            <w:r>
              <w:t>Varicela zoster (VVZ)</w:t>
            </w:r>
          </w:p>
        </w:tc>
        <w:tc>
          <w:tcPr>
            <w:tcW w:w="2361" w:type="dxa"/>
          </w:tcPr>
          <w:p w14:paraId="5A92893D" w14:textId="77777777" w:rsidR="006176F5" w:rsidRDefault="003B7EBD" w:rsidP="00182D6B">
            <w:pPr>
              <w:pStyle w:val="SemEspaamento"/>
            </w:pPr>
            <w:r>
              <w:t>V</w:t>
            </w:r>
            <w:r w:rsidRPr="0019621A">
              <w:rPr>
                <w:rFonts w:eastAsia="Calibri"/>
                <w:lang w:eastAsia="en-US"/>
              </w:rPr>
              <w:t>esículas localizadas no ouvido, cav</w:t>
            </w:r>
            <w:r>
              <w:rPr>
                <w:rFonts w:eastAsia="Calibri"/>
                <w:lang w:eastAsia="en-US"/>
              </w:rPr>
              <w:t>idade oral, orofaringe, cabeça,</w:t>
            </w:r>
            <w:r w:rsidRPr="0019621A">
              <w:rPr>
                <w:rFonts w:eastAsia="Calibri"/>
                <w:lang w:eastAsia="en-US"/>
              </w:rPr>
              <w:t xml:space="preserve"> pescoço e tórax</w:t>
            </w:r>
          </w:p>
        </w:tc>
        <w:tc>
          <w:tcPr>
            <w:tcW w:w="2006" w:type="dxa"/>
          </w:tcPr>
          <w:p w14:paraId="42A7D2E2" w14:textId="77777777" w:rsidR="006176F5" w:rsidRPr="003B7EBD" w:rsidRDefault="003B7EBD" w:rsidP="00182D6B">
            <w:pPr>
              <w:pStyle w:val="SemEspaamento"/>
              <w:rPr>
                <w:rFonts w:eastAsia="Calibri"/>
                <w:lang w:eastAsia="en-US"/>
              </w:rPr>
            </w:pPr>
            <w:r>
              <w:rPr>
                <w:rFonts w:eastAsia="Calibri"/>
                <w:lang w:eastAsia="en-US"/>
              </w:rPr>
              <w:t>Teste de ELISA; r</w:t>
            </w:r>
            <w:r w:rsidRPr="0019621A">
              <w:rPr>
                <w:rFonts w:eastAsia="Calibri"/>
                <w:lang w:eastAsia="en-US"/>
              </w:rPr>
              <w:t>eação em cadeia da po</w:t>
            </w:r>
            <w:r>
              <w:rPr>
                <w:rFonts w:eastAsia="Calibri"/>
                <w:lang w:eastAsia="en-US"/>
              </w:rPr>
              <w:t>limerase (PCR); a</w:t>
            </w:r>
            <w:r w:rsidRPr="0019621A">
              <w:rPr>
                <w:rFonts w:eastAsia="Calibri"/>
                <w:lang w:eastAsia="en-US"/>
              </w:rPr>
              <w:t>glutinação pelo látex (AL)</w:t>
            </w:r>
            <w:r>
              <w:rPr>
                <w:rFonts w:eastAsia="Calibri"/>
                <w:lang w:eastAsia="en-US"/>
              </w:rPr>
              <w:t xml:space="preserve"> ;i</w:t>
            </w:r>
            <w:r w:rsidRPr="0019621A">
              <w:rPr>
                <w:rFonts w:eastAsia="Calibri"/>
                <w:lang w:eastAsia="en-US"/>
              </w:rPr>
              <w:t>munofluorescência indireta (IFI</w:t>
            </w:r>
            <w:r>
              <w:rPr>
                <w:rFonts w:eastAsia="Calibri"/>
                <w:lang w:eastAsia="en-US"/>
              </w:rPr>
              <w:t xml:space="preserve">) </w:t>
            </w:r>
          </w:p>
        </w:tc>
      </w:tr>
    </w:tbl>
    <w:p w14:paraId="55D358B2" w14:textId="39CBB3DA" w:rsidR="00883B81" w:rsidRDefault="00635516" w:rsidP="005D6C16">
      <w:pPr>
        <w:spacing w:after="0" w:line="240" w:lineRule="auto"/>
        <w:ind w:firstLine="720"/>
        <w:jc w:val="both"/>
        <w:rPr>
          <w:rFonts w:ascii="Times New Roman" w:eastAsia="Times New Roman" w:hAnsi="Times New Roman"/>
          <w:sz w:val="24"/>
          <w:szCs w:val="24"/>
        </w:rPr>
      </w:pPr>
      <w:commentRangeStart w:id="4"/>
      <w:commentRangeEnd w:id="4"/>
      <w:r>
        <w:rPr>
          <w:rStyle w:val="Refdecomentrio"/>
        </w:rPr>
        <w:commentReference w:id="4"/>
      </w:r>
    </w:p>
    <w:p w14:paraId="56BF7B53" w14:textId="77777777" w:rsidR="00635516" w:rsidRDefault="00635516" w:rsidP="005D6C16">
      <w:pPr>
        <w:spacing w:after="0" w:line="240" w:lineRule="auto"/>
        <w:ind w:firstLine="720"/>
        <w:jc w:val="both"/>
        <w:rPr>
          <w:rFonts w:ascii="Times New Roman" w:eastAsia="Times New Roman" w:hAnsi="Times New Roman"/>
          <w:sz w:val="24"/>
          <w:szCs w:val="24"/>
        </w:rPr>
      </w:pPr>
    </w:p>
    <w:p w14:paraId="27FE7597" w14:textId="2A021F7F" w:rsidR="00724E95" w:rsidRDefault="00AD30D4" w:rsidP="00182D6B">
      <w:pPr>
        <w:pStyle w:val="SemEspaamento"/>
      </w:pPr>
      <w:r>
        <w:tab/>
      </w:r>
      <w:proofErr w:type="spellStart"/>
      <w:r w:rsidR="000630A1">
        <w:t>T</w:t>
      </w:r>
      <w:r>
        <w:t>sai</w:t>
      </w:r>
      <w:proofErr w:type="spellEnd"/>
      <w:r w:rsidR="00724E95" w:rsidRPr="00DC4F30">
        <w:t>, et al. (2012)</w:t>
      </w:r>
      <w:r>
        <w:t xml:space="preserve">, </w:t>
      </w:r>
      <w:r w:rsidR="00DC4F30">
        <w:t>realizar</w:t>
      </w:r>
      <w:r w:rsidR="00DC4F30" w:rsidRPr="00DC4F30">
        <w:t xml:space="preserve">am um estudo de caso com um sujeito do sexo </w:t>
      </w:r>
      <w:r w:rsidR="00DC4F30">
        <w:t>masculino</w:t>
      </w:r>
      <w:r w:rsidR="00DC4F30" w:rsidRPr="00DC4F30">
        <w:t xml:space="preserve"> de 26 anos</w:t>
      </w:r>
      <w:r w:rsidR="00DC4F30">
        <w:t xml:space="preserve">, </w:t>
      </w:r>
      <w:r w:rsidR="00DC4F30" w:rsidRPr="00DC4F30">
        <w:t xml:space="preserve">tratado com </w:t>
      </w:r>
      <w:proofErr w:type="spellStart"/>
      <w:r w:rsidR="00DC4F30" w:rsidRPr="00DC4F30">
        <w:t>azatioprina</w:t>
      </w:r>
      <w:proofErr w:type="spellEnd"/>
      <w:r w:rsidR="00DC4F30" w:rsidRPr="00DC4F30">
        <w:t xml:space="preserve"> para miastenia gravis</w:t>
      </w:r>
      <w:r w:rsidR="00DC4F30">
        <w:t>,</w:t>
      </w:r>
      <w:r w:rsidR="00DC4F30" w:rsidRPr="00DC4F30">
        <w:t xml:space="preserve"> que desenvolveu fraqueza facial </w:t>
      </w:r>
      <w:r w:rsidR="00DC4F30" w:rsidRPr="00DC4F30">
        <w:lastRenderedPageBreak/>
        <w:t>pe</w:t>
      </w:r>
      <w:r w:rsidR="00DC4F30">
        <w:t>riférica aguda no lado esquerdo, onde a análise do</w:t>
      </w:r>
      <w:r w:rsidR="00DC4F30" w:rsidRPr="00DC4F30">
        <w:t xml:space="preserve"> líquido cefalorraquidiano e do soro revelou síntese </w:t>
      </w:r>
      <w:proofErr w:type="spellStart"/>
      <w:r w:rsidR="00DC4F30" w:rsidRPr="00DC4F30">
        <w:t>intratecal</w:t>
      </w:r>
      <w:proofErr w:type="spellEnd"/>
      <w:r w:rsidR="00DC4F30" w:rsidRPr="00DC4F30">
        <w:t xml:space="preserve"> de anticorpo IgG</w:t>
      </w:r>
      <w:r w:rsidR="00635516">
        <w:t xml:space="preserve"> </w:t>
      </w:r>
      <w:proofErr w:type="spellStart"/>
      <w:r w:rsidR="00DC4F30" w:rsidRPr="00DC4F30">
        <w:t>anti-vírus</w:t>
      </w:r>
      <w:proofErr w:type="spellEnd"/>
      <w:r w:rsidR="00DC4F30" w:rsidRPr="00DC4F30">
        <w:t xml:space="preserve"> varicela zoster </w:t>
      </w:r>
      <w:r w:rsidR="00DC4F30">
        <w:t>e</w:t>
      </w:r>
      <w:r w:rsidR="00AE6C39">
        <w:t>,</w:t>
      </w:r>
      <w:r w:rsidR="00DC4F30">
        <w:t xml:space="preserve"> a análise da ressonância magnética</w:t>
      </w:r>
      <w:r w:rsidR="00AE6C39">
        <w:t>,</w:t>
      </w:r>
      <w:r w:rsidR="00635516">
        <w:t xml:space="preserve"> </w:t>
      </w:r>
      <w:r w:rsidR="00AE6C39">
        <w:t>demons</w:t>
      </w:r>
      <w:r w:rsidR="00DC4F30">
        <w:t xml:space="preserve">trou </w:t>
      </w:r>
      <w:r w:rsidR="00DC4F30" w:rsidRPr="00DC4F30">
        <w:t>realce no</w:t>
      </w:r>
      <w:r w:rsidR="00635516">
        <w:t xml:space="preserve"> </w:t>
      </w:r>
      <w:r w:rsidR="00DC4F30" w:rsidRPr="00DC4F30">
        <w:t xml:space="preserve">gânglio geniculado esquerdo e nos segmentos </w:t>
      </w:r>
      <w:proofErr w:type="spellStart"/>
      <w:r w:rsidR="00DC4F30" w:rsidRPr="00DC4F30">
        <w:t>intracanalicular</w:t>
      </w:r>
      <w:proofErr w:type="spellEnd"/>
      <w:r w:rsidR="00DC4F30" w:rsidRPr="00DC4F30">
        <w:t xml:space="preserve"> e timpânico do nervo facial</w:t>
      </w:r>
      <w:r w:rsidR="00DC4F30">
        <w:t>.</w:t>
      </w:r>
      <w:r w:rsidR="00AE6C39">
        <w:t xml:space="preserve"> A partir deste estudo, puderam concluir que </w:t>
      </w:r>
      <w:r w:rsidR="00AE6C39" w:rsidRPr="00AE6C39">
        <w:t>a detecção de DNA de HSV na saliva tem valor potencial e é</w:t>
      </w:r>
      <w:r w:rsidR="00635516">
        <w:t xml:space="preserve"> </w:t>
      </w:r>
      <w:r w:rsidR="00AE6C39" w:rsidRPr="00AE6C39">
        <w:t>rápido e não invasiv</w:t>
      </w:r>
      <w:r w:rsidR="00AE6C39">
        <w:t>o e que a r</w:t>
      </w:r>
      <w:r w:rsidR="00AE6C39" w:rsidRPr="00AE6C39">
        <w:t xml:space="preserve">eativação simultânea de dois </w:t>
      </w:r>
      <w:proofErr w:type="spellStart"/>
      <w:r w:rsidR="00AE6C39" w:rsidRPr="00AE6C39">
        <w:t>alfaherpesvírus</w:t>
      </w:r>
      <w:proofErr w:type="spellEnd"/>
      <w:r w:rsidR="00AE6C39" w:rsidRPr="00AE6C39">
        <w:t xml:space="preserve"> (HSV-1 e VZV) </w:t>
      </w:r>
      <w:r w:rsidR="00AE6C39">
        <w:t>no sujeito</w:t>
      </w:r>
      <w:r w:rsidR="00635516">
        <w:t xml:space="preserve"> </w:t>
      </w:r>
      <w:r w:rsidR="00AE6C39" w:rsidRPr="00AE6C39">
        <w:t>imunossuprimido</w:t>
      </w:r>
      <w:r w:rsidR="00635516">
        <w:t xml:space="preserve"> </w:t>
      </w:r>
      <w:r w:rsidR="00AE6C39" w:rsidRPr="00AE6C39">
        <w:t>sublinha a necessidade de considerar a infecção oportunista como causa da fraqueza facial.</w:t>
      </w:r>
    </w:p>
    <w:p w14:paraId="67F1DBEC" w14:textId="221E42D3" w:rsidR="00E93D83" w:rsidRPr="00CE046C" w:rsidRDefault="00AD30D4" w:rsidP="00AD30D4">
      <w:pPr>
        <w:pStyle w:val="SemEspaamento"/>
        <w:tabs>
          <w:tab w:val="left" w:pos="2410"/>
        </w:tabs>
      </w:pPr>
      <w:r>
        <w:tab/>
      </w:r>
      <w:r w:rsidR="00E93D83">
        <w:t xml:space="preserve">Com o intuito de realizar uma série de casos </w:t>
      </w:r>
      <w:r w:rsidR="00DA290D">
        <w:t>com 81 indivíduos,</w:t>
      </w:r>
      <w:bookmarkStart w:id="5" w:name="_Hlk55813864"/>
      <w:r>
        <w:t xml:space="preserve"> </w:t>
      </w:r>
      <w:proofErr w:type="spellStart"/>
      <w:r w:rsidR="000630A1">
        <w:t>S</w:t>
      </w:r>
      <w:r>
        <w:t>hin</w:t>
      </w:r>
      <w:proofErr w:type="spellEnd"/>
      <w:r w:rsidR="00E93D83">
        <w:t>, et al. (201</w:t>
      </w:r>
      <w:bookmarkEnd w:id="5"/>
      <w:r w:rsidR="00DA290D">
        <w:t>6</w:t>
      </w:r>
      <w:r w:rsidR="00E93D83">
        <w:t>), realizaram uma investigação das manifestações clínicas de HZ</w:t>
      </w:r>
      <w:r w:rsidR="00512A6B">
        <w:t>O (Herpes-Zoster oftálmica)</w:t>
      </w:r>
      <w:r w:rsidR="00E93D83">
        <w:t xml:space="preserve">, </w:t>
      </w:r>
      <w:r w:rsidR="00E93D83" w:rsidRPr="00E93D83">
        <w:t>comparando sintomas associados com</w:t>
      </w:r>
      <w:r w:rsidR="00635516">
        <w:t xml:space="preserve"> </w:t>
      </w:r>
      <w:r w:rsidR="00DA290D">
        <w:t>disfunções do VII e VIII</w:t>
      </w:r>
      <w:r w:rsidR="00E93D83" w:rsidRPr="00E93D83">
        <w:t xml:space="preserve"> nervos cranianos </w:t>
      </w:r>
      <w:r w:rsidR="00E93D83">
        <w:t xml:space="preserve">a partir da eletroneuromiografia, comparando </w:t>
      </w:r>
      <w:r w:rsidR="00E93D83" w:rsidRPr="00E93D83">
        <w:t>entre os grupos de pacientes</w:t>
      </w:r>
      <w:r w:rsidR="00635516">
        <w:t xml:space="preserve"> </w:t>
      </w:r>
      <w:r w:rsidR="00E93D83" w:rsidRPr="00E93D83">
        <w:t xml:space="preserve">com </w:t>
      </w:r>
      <w:r w:rsidR="00DA290D">
        <w:t>paralisia</w:t>
      </w:r>
      <w:r w:rsidR="00E93D83" w:rsidRPr="00E93D83">
        <w:t xml:space="preserve"> facial. </w:t>
      </w:r>
      <w:r w:rsidR="00E93D83">
        <w:t>Observaram a partir da avaliação detalhada destes grupos, que a d</w:t>
      </w:r>
      <w:r w:rsidR="00E93D83" w:rsidRPr="00E93D83">
        <w:t xml:space="preserve">isfunção VII e VIII </w:t>
      </w:r>
      <w:r w:rsidR="00E93D83">
        <w:t xml:space="preserve">par </w:t>
      </w:r>
      <w:r w:rsidR="00E93D83" w:rsidRPr="00E93D83">
        <w:t>são possíveis em pacientes com</w:t>
      </w:r>
      <w:r w:rsidR="00E93D83">
        <w:t xml:space="preserve"> HZO e que p</w:t>
      </w:r>
      <w:r w:rsidR="00E93D83" w:rsidRPr="00E93D83">
        <w:t xml:space="preserve">acientes com vertigem apresentaram valores de </w:t>
      </w:r>
      <w:proofErr w:type="spellStart"/>
      <w:r w:rsidR="00E93D83" w:rsidRPr="00E93D83">
        <w:t>ENo</w:t>
      </w:r>
      <w:r w:rsidR="003B668C">
        <w:t>G</w:t>
      </w:r>
      <w:proofErr w:type="spellEnd"/>
      <w:r w:rsidR="003B668C">
        <w:t xml:space="preserve"> (</w:t>
      </w:r>
      <w:proofErr w:type="spellStart"/>
      <w:r w:rsidR="00E17092">
        <w:t>Eletroneurografia</w:t>
      </w:r>
      <w:proofErr w:type="spellEnd"/>
      <w:r w:rsidR="003B668C" w:rsidRPr="003B668C">
        <w:t>)</w:t>
      </w:r>
      <w:r w:rsidR="00E93D83" w:rsidRPr="00E93D83">
        <w:t xml:space="preserve"> piores do que</w:t>
      </w:r>
      <w:r w:rsidR="00635516">
        <w:t xml:space="preserve"> </w:t>
      </w:r>
      <w:r w:rsidR="00E93D83" w:rsidRPr="00E93D83">
        <w:t>aqueles sem</w:t>
      </w:r>
      <w:r w:rsidR="008F233A">
        <w:t xml:space="preserve"> vertigem, o que pode indicar que essa vertigem reflete na </w:t>
      </w:r>
      <w:r w:rsidR="00E93D83" w:rsidRPr="00E93D83">
        <w:t>degeneração do nervo facial mais grave em pacientes com HZO</w:t>
      </w:r>
      <w:r w:rsidR="00635516">
        <w:t xml:space="preserve"> </w:t>
      </w:r>
      <w:r w:rsidR="00E93D83" w:rsidRPr="00E93D83">
        <w:t xml:space="preserve">com </w:t>
      </w:r>
      <w:r w:rsidR="00DA290D" w:rsidRPr="00CE046C">
        <w:t>paralisia</w:t>
      </w:r>
      <w:r w:rsidR="00E93D83" w:rsidRPr="00CE046C">
        <w:t xml:space="preserve"> facial.</w:t>
      </w:r>
    </w:p>
    <w:p w14:paraId="448EE42C" w14:textId="6AE14192" w:rsidR="002B6548" w:rsidRDefault="00AD30D4" w:rsidP="00182D6B">
      <w:pPr>
        <w:pStyle w:val="SemEspaamento"/>
      </w:pPr>
      <w:r>
        <w:tab/>
      </w:r>
      <w:proofErr w:type="spellStart"/>
      <w:r w:rsidR="00071649" w:rsidRPr="00CE046C">
        <w:t>Lindström</w:t>
      </w:r>
      <w:proofErr w:type="spellEnd"/>
      <w:r w:rsidR="00071649" w:rsidRPr="00CE046C">
        <w:t xml:space="preserve">, </w:t>
      </w:r>
      <w:r w:rsidR="00724E95" w:rsidRPr="00CE046C">
        <w:t>et al</w:t>
      </w:r>
      <w:r>
        <w:t>.</w:t>
      </w:r>
      <w:r w:rsidR="00724E95" w:rsidRPr="00CE046C">
        <w:t xml:space="preserve"> </w:t>
      </w:r>
      <w:r w:rsidR="00071649" w:rsidRPr="00CE046C">
        <w:t xml:space="preserve">(2016), em sua pesquisa intitulada “Carga viral do líquido cefalorraquidiano e biomarcadores de células neuronais e gliais em </w:t>
      </w:r>
      <w:proofErr w:type="spellStart"/>
      <w:r w:rsidR="00071649" w:rsidRPr="00CE046C">
        <w:t>Ramsay</w:t>
      </w:r>
      <w:proofErr w:type="spellEnd"/>
      <w:r w:rsidR="00071649" w:rsidRPr="00CE046C">
        <w:t xml:space="preserve"> Síndrome de Hunt” empregaram métodos </w:t>
      </w:r>
      <w:proofErr w:type="spellStart"/>
      <w:r w:rsidR="00071649" w:rsidRPr="00CE046C">
        <w:t>imunoquímicos</w:t>
      </w:r>
      <w:proofErr w:type="spellEnd"/>
      <w:r w:rsidR="00071649" w:rsidRPr="00CE046C">
        <w:t xml:space="preserve"> para medir as concentrações de NFL, proteína S-100ß e </w:t>
      </w:r>
      <w:proofErr w:type="spellStart"/>
      <w:r w:rsidR="00071649" w:rsidRPr="00CE046C">
        <w:t>GFAp</w:t>
      </w:r>
      <w:proofErr w:type="spellEnd"/>
      <w:r w:rsidR="00071649" w:rsidRPr="00CE046C">
        <w:t xml:space="preserve"> no </w:t>
      </w:r>
      <w:r w:rsidR="00DC4F30" w:rsidRPr="00CE046C">
        <w:t>líquido cefalorraquidiano</w:t>
      </w:r>
      <w:r w:rsidR="00E80445" w:rsidRPr="00CE046C">
        <w:t xml:space="preserve"> de pacientes com RHS e RHS-ZSH</w:t>
      </w:r>
      <w:r w:rsidR="00071649" w:rsidRPr="00CE046C">
        <w:t xml:space="preserve"> diagnosticado </w:t>
      </w:r>
      <w:proofErr w:type="spellStart"/>
      <w:r w:rsidR="00071649" w:rsidRPr="00CE046C">
        <w:t>pordetecção</w:t>
      </w:r>
      <w:proofErr w:type="spellEnd"/>
      <w:r w:rsidR="00071649" w:rsidRPr="00CE046C">
        <w:t xml:space="preserve"> de DNA de </w:t>
      </w:r>
      <w:r w:rsidR="00DC4F30" w:rsidRPr="00CE046C">
        <w:t xml:space="preserve">varicela </w:t>
      </w:r>
      <w:proofErr w:type="spellStart"/>
      <w:r w:rsidR="00DC4F30" w:rsidRPr="00CE046C">
        <w:t>zoster</w:t>
      </w:r>
      <w:r w:rsidR="00E80445" w:rsidRPr="00CE046C">
        <w:t>no</w:t>
      </w:r>
      <w:proofErr w:type="spellEnd"/>
      <w:r w:rsidR="00E80445" w:rsidRPr="00CE046C">
        <w:t xml:space="preserve"> CS</w:t>
      </w:r>
      <w:r w:rsidR="00936082" w:rsidRPr="00CE046C">
        <w:t>F (l</w:t>
      </w:r>
      <w:r w:rsidR="003B668C" w:rsidRPr="00CE046C">
        <w:t>íquido cefalorraquidiano)</w:t>
      </w:r>
      <w:r w:rsidR="00E95A56">
        <w:t xml:space="preserve"> </w:t>
      </w:r>
      <w:r w:rsidR="00E80445" w:rsidRPr="00CE046C">
        <w:t>por PCR quantitativo, e sua comparação com</w:t>
      </w:r>
      <w:r w:rsidR="00071649" w:rsidRPr="00CE046C">
        <w:t xml:space="preserve"> grupo de controle</w:t>
      </w:r>
      <w:r w:rsidR="00E80445" w:rsidRPr="00CE046C">
        <w:t>.</w:t>
      </w:r>
      <w:r w:rsidR="00811427" w:rsidRPr="00CE046C">
        <w:t xml:space="preserve">Com isso, puderam observar que pacientes com paralisia facial periférica aguda ocasionadas por </w:t>
      </w:r>
      <w:r w:rsidR="00DC4F30" w:rsidRPr="00CE046C">
        <w:t>varicela zoster</w:t>
      </w:r>
      <w:r w:rsidR="00811427" w:rsidRPr="00CE046C">
        <w:t xml:space="preserve"> aumentaram as concentrações de NFL e </w:t>
      </w:r>
      <w:proofErr w:type="spellStart"/>
      <w:r w:rsidR="00811427" w:rsidRPr="00CE046C">
        <w:t>GFAp</w:t>
      </w:r>
      <w:proofErr w:type="spellEnd"/>
      <w:r w:rsidR="00CE046C" w:rsidRPr="00CE046C">
        <w:t xml:space="preserve"> (proteína glial fibrilar</w:t>
      </w:r>
      <w:r w:rsidR="00CE046C">
        <w:t>) ácida</w:t>
      </w:r>
      <w:r w:rsidR="00811427">
        <w:t xml:space="preserve"> no </w:t>
      </w:r>
      <w:r w:rsidR="00DC4F30">
        <w:t>líquido cefalorraquidiano</w:t>
      </w:r>
      <w:r w:rsidR="00811427">
        <w:t xml:space="preserve"> em combinação com uma d</w:t>
      </w:r>
      <w:r w:rsidR="00811427" w:rsidRPr="00811427">
        <w:t>iminuição em S-100β comparado a um grupo de controle, indica</w:t>
      </w:r>
      <w:r w:rsidR="00811427">
        <w:t xml:space="preserve">ndo dano neuronal e </w:t>
      </w:r>
      <w:proofErr w:type="spellStart"/>
      <w:r w:rsidR="00811427">
        <w:t>astrogliose</w:t>
      </w:r>
      <w:proofErr w:type="spellEnd"/>
      <w:r w:rsidR="00811427">
        <w:t xml:space="preserve">, enquanto a </w:t>
      </w:r>
      <w:r w:rsidR="00811427" w:rsidRPr="00811427">
        <w:t xml:space="preserve">quantidade de DNA viral no </w:t>
      </w:r>
      <w:r w:rsidR="00DC4F30">
        <w:t>líquido cefalorraquidiano</w:t>
      </w:r>
      <w:r w:rsidR="00811427" w:rsidRPr="00811427">
        <w:t xml:space="preserve"> está correlacionada com o aumento de biomarcadores e pode ser</w:t>
      </w:r>
      <w:r w:rsidR="00E95A56">
        <w:t xml:space="preserve"> </w:t>
      </w:r>
      <w:r w:rsidR="00811427" w:rsidRPr="00811427">
        <w:t xml:space="preserve">associado ao grau de dano nos neurônios e células </w:t>
      </w:r>
      <w:proofErr w:type="spellStart"/>
      <w:r w:rsidR="00811427" w:rsidRPr="00811427">
        <w:t>astrogliais</w:t>
      </w:r>
      <w:proofErr w:type="spellEnd"/>
      <w:r w:rsidR="00811427" w:rsidRPr="00811427">
        <w:t xml:space="preserve">. </w:t>
      </w:r>
    </w:p>
    <w:p w14:paraId="38D433FE" w14:textId="584C2183" w:rsidR="00D62726" w:rsidRDefault="00AD30D4" w:rsidP="00AD30D4">
      <w:pPr>
        <w:pStyle w:val="SemEspaamento"/>
        <w:rPr>
          <w:rFonts w:eastAsia="Times New Roman"/>
          <w:szCs w:val="24"/>
        </w:rPr>
      </w:pPr>
      <w:r>
        <w:tab/>
      </w:r>
      <w:r w:rsidR="00D62726" w:rsidRPr="00182D6B">
        <w:t xml:space="preserve">Para classificação da perda de funcionalidade da face, pode-se utilizar a Escala de Classificação da Função Facial de </w:t>
      </w:r>
      <w:proofErr w:type="spellStart"/>
      <w:r w:rsidR="00D62726" w:rsidRPr="00182D6B">
        <w:t>HouseBrackmann</w:t>
      </w:r>
      <w:proofErr w:type="spellEnd"/>
      <w:r w:rsidR="00D62726" w:rsidRPr="00182D6B">
        <w:t xml:space="preserve">, que categoriza a perda em seis graus, sendo eles: Grau I: função normal em todos os territórios; Grau II: disfunção leve, com ligeira ou leve fraqueza da musculatura, perceptível apenas em uma inspeção mais próxima, sem alteração durante o repouso, não possuindo </w:t>
      </w:r>
      <w:proofErr w:type="spellStart"/>
      <w:r w:rsidR="00D62726" w:rsidRPr="00182D6B">
        <w:t>sincinesias</w:t>
      </w:r>
      <w:proofErr w:type="spellEnd"/>
      <w:r w:rsidR="00D62726" w:rsidRPr="00182D6B">
        <w:t xml:space="preserve">, contraturas ou espasmos faciais; Grau III: disfunção moderada, com diferença clara entre os dois lados sem apresentar desfiguração, mas possuindo incompetência para o fechamento palpebral completo, assimetria da comissura oral nos movimentos máximos, mas em repouso há simetria e tom normais; Grau IV: disfunção moderadamente grave, com fraqueza e / ou assimetria </w:t>
      </w:r>
      <w:proofErr w:type="spellStart"/>
      <w:r w:rsidR="00D62726" w:rsidRPr="00182D6B">
        <w:t>desfigurante</w:t>
      </w:r>
      <w:proofErr w:type="spellEnd"/>
      <w:r w:rsidR="00D62726" w:rsidRPr="00182D6B">
        <w:t xml:space="preserve"> e, quando em repouso, simetria e tônus normais, mas sem movimento da região frontal com incapacidade de fechar totalmente os olhos, apresentando </w:t>
      </w:r>
      <w:proofErr w:type="spellStart"/>
      <w:r w:rsidR="00D62726" w:rsidRPr="00182D6B">
        <w:t>sincinesias</w:t>
      </w:r>
      <w:proofErr w:type="spellEnd"/>
      <w:r w:rsidR="00D62726" w:rsidRPr="00182D6B">
        <w:t xml:space="preserve"> e espasmo facial; Grau V: Disfunção severa com apenas ligeira atividade motora perceptível, sendo que em repouso há assimetria; Grau VI:  Paralisia total sem moviment</w:t>
      </w:r>
      <w:r w:rsidR="00C0719C">
        <w:t xml:space="preserve">o facial com perda total de </w:t>
      </w:r>
      <w:commentRangeStart w:id="6"/>
      <w:r w:rsidR="00C0719C">
        <w:t>tom</w:t>
      </w:r>
      <w:commentRangeEnd w:id="6"/>
      <w:r w:rsidR="00E95A56">
        <w:rPr>
          <w:rStyle w:val="Refdecomentrio"/>
          <w:rFonts w:ascii="Calibri" w:eastAsia="Calibri" w:hAnsi="Calibri" w:cs="Times New Roman"/>
          <w:lang w:eastAsia="en-US"/>
        </w:rPr>
        <w:commentReference w:id="6"/>
      </w:r>
      <w:r w:rsidR="00E95A56">
        <w:t>.</w:t>
      </w:r>
    </w:p>
    <w:p w14:paraId="3FDB601B" w14:textId="77777777" w:rsidR="00502375" w:rsidRDefault="00502375" w:rsidP="00724E95">
      <w:pPr>
        <w:spacing w:after="0" w:line="240" w:lineRule="auto"/>
        <w:ind w:firstLine="720"/>
        <w:jc w:val="both"/>
        <w:rPr>
          <w:rFonts w:ascii="Times New Roman" w:eastAsia="Times New Roman" w:hAnsi="Times New Roman"/>
          <w:sz w:val="24"/>
          <w:szCs w:val="24"/>
        </w:rPr>
      </w:pPr>
    </w:p>
    <w:p w14:paraId="5E02B490" w14:textId="77777777" w:rsidR="005D1AC9" w:rsidRPr="00A5081A" w:rsidRDefault="00A5081A" w:rsidP="005D1AC9">
      <w:pPr>
        <w:pStyle w:val="Ttulo3"/>
        <w:spacing w:line="240" w:lineRule="auto"/>
        <w:jc w:val="both"/>
      </w:pPr>
      <w:r w:rsidRPr="007B117A">
        <w:t>CONCLUS</w:t>
      </w:r>
      <w:r>
        <w:t>ÃO</w:t>
      </w:r>
    </w:p>
    <w:p w14:paraId="28D5E077" w14:textId="77777777" w:rsidR="008E1F0A" w:rsidRDefault="008E1F0A" w:rsidP="008E1F0A">
      <w:pPr>
        <w:widowControl w:val="0"/>
        <w:tabs>
          <w:tab w:val="left" w:pos="567"/>
        </w:tabs>
        <w:autoSpaceDE w:val="0"/>
        <w:autoSpaceDN w:val="0"/>
        <w:adjustRightInd w:val="0"/>
        <w:spacing w:after="0" w:line="240" w:lineRule="auto"/>
        <w:ind w:firstLine="708"/>
        <w:jc w:val="both"/>
        <w:rPr>
          <w:rFonts w:ascii="Times New Roman" w:hAnsi="Times New Roman"/>
          <w:sz w:val="24"/>
          <w:szCs w:val="24"/>
        </w:rPr>
      </w:pPr>
    </w:p>
    <w:p w14:paraId="3010FB24" w14:textId="77777777" w:rsidR="008E1F0A" w:rsidRPr="00890258" w:rsidRDefault="00AD30D4" w:rsidP="00890258">
      <w:pPr>
        <w:pStyle w:val="SemEspaamento"/>
      </w:pPr>
      <w:r>
        <w:tab/>
      </w:r>
      <w:r w:rsidR="008E1F0A" w:rsidRPr="00890258">
        <w:t xml:space="preserve">Conclui-se que a literatura atual referente a paralisia facial ocasionada pela herpes zoster aborda mais questões relacionadas ao modo de infecção e o que deve ser considerado durante a mesma, quadros clínicos e os fatores que podem ocasionar sua piora, além de análises </w:t>
      </w:r>
      <w:r w:rsidR="008E1F0A" w:rsidRPr="00890258">
        <w:lastRenderedPageBreak/>
        <w:t xml:space="preserve">bioquímicas acerca de quais concentrações são mais observadas nos sujeitos com paralisia facial periférica, ocasionadas por varicela zoster. </w:t>
      </w:r>
    </w:p>
    <w:p w14:paraId="167F599D" w14:textId="77777777" w:rsidR="008E1F0A" w:rsidRPr="00DC4F30" w:rsidRDefault="00AD30D4" w:rsidP="00890258">
      <w:pPr>
        <w:pStyle w:val="SemEspaamento"/>
        <w:rPr>
          <w:rFonts w:eastAsia="Times New Roman"/>
        </w:rPr>
      </w:pPr>
      <w:r>
        <w:tab/>
      </w:r>
      <w:r w:rsidR="008E1F0A" w:rsidRPr="00890258">
        <w:t>Portanto, vale-se ressaltar a importância de maiores pesquisas acerca do tema, principalmente quanto a sua fisiopatologia e prognóstico dos pacientes</w:t>
      </w:r>
      <w:r w:rsidR="008E1F0A">
        <w:rPr>
          <w:rFonts w:eastAsia="Times New Roman"/>
        </w:rPr>
        <w:t>.</w:t>
      </w:r>
    </w:p>
    <w:p w14:paraId="2E9DA517" w14:textId="77777777" w:rsidR="008E1F0A" w:rsidRDefault="008E1F0A" w:rsidP="005D1AC9">
      <w:pPr>
        <w:pStyle w:val="Ttulo3"/>
        <w:spacing w:line="240" w:lineRule="auto"/>
        <w:jc w:val="both"/>
      </w:pPr>
    </w:p>
    <w:p w14:paraId="70D34103" w14:textId="77777777" w:rsidR="005D1AC9" w:rsidRPr="007B117A" w:rsidRDefault="00A5081A" w:rsidP="005D1AC9">
      <w:pPr>
        <w:pStyle w:val="Ttulo3"/>
        <w:spacing w:line="240" w:lineRule="auto"/>
        <w:jc w:val="both"/>
      </w:pPr>
      <w:r w:rsidRPr="007B117A">
        <w:t xml:space="preserve">REFERÊNCIAS </w:t>
      </w:r>
    </w:p>
    <w:p w14:paraId="7372123D" w14:textId="77777777" w:rsidR="00462092" w:rsidRDefault="00462092" w:rsidP="00454B90">
      <w:pPr>
        <w:spacing w:after="0" w:line="240" w:lineRule="auto"/>
        <w:jc w:val="both"/>
        <w:rPr>
          <w:rFonts w:ascii="Times New Roman" w:hAnsi="Times New Roman"/>
          <w:sz w:val="24"/>
          <w:szCs w:val="24"/>
        </w:rPr>
      </w:pPr>
    </w:p>
    <w:p w14:paraId="7A329BA1" w14:textId="77777777" w:rsidR="00EF33C9" w:rsidRPr="00C82ACB" w:rsidRDefault="00EF33C9" w:rsidP="00EF33C9">
      <w:pPr>
        <w:pStyle w:val="SemEspaamento"/>
      </w:pPr>
      <w:r>
        <w:t xml:space="preserve">ALMEIDA, U. T. F. H. A.; SILVA, R. A. S.; ALMEIDA, A. H. A.; NUNES, L. M. A. N. </w:t>
      </w:r>
      <w:r w:rsidRPr="00C82ACB">
        <w:t xml:space="preserve">Síndrome de </w:t>
      </w:r>
      <w:proofErr w:type="spellStart"/>
      <w:r w:rsidRPr="00C82ACB">
        <w:t>Ramsay</w:t>
      </w:r>
      <w:proofErr w:type="spellEnd"/>
      <w:r w:rsidRPr="00C82ACB">
        <w:t xml:space="preserve"> Hunt: uma revisão sistemática,</w:t>
      </w:r>
      <w:r>
        <w:rPr>
          <w:b/>
        </w:rPr>
        <w:t xml:space="preserve"> </w:t>
      </w:r>
      <w:r w:rsidRPr="00C82ACB">
        <w:rPr>
          <w:b/>
        </w:rPr>
        <w:t>Revista Eletrônica Acervo Saúde</w:t>
      </w:r>
      <w:r w:rsidRPr="00C82ACB">
        <w:t xml:space="preserve">, v. </w:t>
      </w:r>
      <w:proofErr w:type="gramStart"/>
      <w:r w:rsidRPr="00C82ACB">
        <w:t>55,  n.</w:t>
      </w:r>
      <w:proofErr w:type="gramEnd"/>
      <w:r w:rsidRPr="00C82ACB">
        <w:t xml:space="preserve"> 55, 2020. Disponível em: </w:t>
      </w:r>
      <w:r w:rsidR="00503B5F">
        <w:t>&lt;</w:t>
      </w:r>
      <w:r w:rsidRPr="00C82ACB">
        <w:t>file:///C:/Users/User/Downloads/3899-Artigo-42011-2-10-20200806.pdf</w:t>
      </w:r>
      <w:r w:rsidR="00503B5F">
        <w:t>&gt;</w:t>
      </w:r>
      <w:r w:rsidRPr="00C82ACB">
        <w:t xml:space="preserve">. Acesso em: 20 nov. </w:t>
      </w:r>
      <w:r>
        <w:t>2020.</w:t>
      </w:r>
    </w:p>
    <w:p w14:paraId="028957DE" w14:textId="77777777" w:rsidR="00EF33C9" w:rsidRDefault="00EF33C9" w:rsidP="009E1AB1">
      <w:pPr>
        <w:pStyle w:val="SemEspaamento"/>
      </w:pPr>
    </w:p>
    <w:p w14:paraId="69FC942C" w14:textId="77777777" w:rsidR="009E1AB1" w:rsidRDefault="009E1AB1" w:rsidP="009E1AB1">
      <w:pPr>
        <w:pStyle w:val="SemEspaamento"/>
      </w:pPr>
      <w:r>
        <w:t>BERALDIN, B. S. B.; RAYES</w:t>
      </w:r>
      <w:r w:rsidRPr="00A05F8C">
        <w:t xml:space="preserve">, T. R. R.; RAYES, A. R.; MULLER, A. F. M.; Síndrome de </w:t>
      </w:r>
      <w:proofErr w:type="spellStart"/>
      <w:r w:rsidRPr="00A05F8C">
        <w:t>Ramsay</w:t>
      </w:r>
      <w:proofErr w:type="spellEnd"/>
      <w:r w:rsidRPr="00A05F8C">
        <w:t xml:space="preserve"> Hunt: Relato de Caso.</w:t>
      </w:r>
      <w:r>
        <w:rPr>
          <w:b/>
        </w:rPr>
        <w:t xml:space="preserve"> </w:t>
      </w:r>
      <w:r w:rsidRPr="00A05F8C">
        <w:rPr>
          <w:b/>
        </w:rPr>
        <w:t>Arquivos Catarinenses de Medicina</w:t>
      </w:r>
      <w:r>
        <w:rPr>
          <w:b/>
        </w:rPr>
        <w:t xml:space="preserve">, </w:t>
      </w:r>
      <w:r>
        <w:t>v</w:t>
      </w:r>
      <w:r w:rsidRPr="00A05F8C">
        <w:t>. 37, n</w:t>
      </w:r>
      <w:r>
        <w:t>.</w:t>
      </w:r>
      <w:r w:rsidRPr="00A05F8C">
        <w:t xml:space="preserve"> 3, 2008</w:t>
      </w:r>
      <w:r>
        <w:t xml:space="preserve">. </w:t>
      </w:r>
      <w:r w:rsidRPr="005270D4">
        <w:t xml:space="preserve">Disponível em: </w:t>
      </w:r>
      <w:r w:rsidR="00503B5F">
        <w:t>&lt;</w:t>
      </w:r>
      <w:r w:rsidRPr="009E1AB1">
        <w:t>http://www.acm.org.br/revista/pdf/artigos/572.pdf</w:t>
      </w:r>
      <w:r w:rsidR="00503B5F">
        <w:t>&gt;</w:t>
      </w:r>
      <w:r>
        <w:t>. Acesso em: 28 nov. 2020.</w:t>
      </w:r>
    </w:p>
    <w:p w14:paraId="19CD427E" w14:textId="77777777" w:rsidR="009E1AB1" w:rsidRDefault="009E1AB1" w:rsidP="00EE0C78">
      <w:pPr>
        <w:tabs>
          <w:tab w:val="left" w:pos="5130"/>
        </w:tabs>
        <w:spacing w:after="0" w:line="240" w:lineRule="auto"/>
        <w:jc w:val="both"/>
        <w:rPr>
          <w:rFonts w:ascii="Times New Roman" w:hAnsi="Times New Roman"/>
          <w:sz w:val="24"/>
          <w:szCs w:val="24"/>
        </w:rPr>
      </w:pPr>
    </w:p>
    <w:p w14:paraId="727C9278" w14:textId="77777777" w:rsidR="007F2BFA" w:rsidRPr="007F2BFA" w:rsidRDefault="007F2BFA" w:rsidP="007F2BFA">
      <w:pPr>
        <w:pStyle w:val="SemEspaamento"/>
        <w:rPr>
          <w:b/>
        </w:rPr>
      </w:pPr>
      <w:r>
        <w:t xml:space="preserve">CARRIÇO, C.C.; Relato de um caso de Síndrome d </w:t>
      </w:r>
      <w:proofErr w:type="spellStart"/>
      <w:r>
        <w:t>Ramsay</w:t>
      </w:r>
      <w:proofErr w:type="spellEnd"/>
      <w:r>
        <w:t xml:space="preserve"> </w:t>
      </w:r>
      <w:proofErr w:type="gramStart"/>
      <w:r>
        <w:t>Hunt ,</w:t>
      </w:r>
      <w:proofErr w:type="gramEnd"/>
      <w:r>
        <w:t xml:space="preserve"> </w:t>
      </w:r>
      <w:r w:rsidRPr="007F2BFA">
        <w:rPr>
          <w:b/>
        </w:rPr>
        <w:t>Revista Portuguesa de Clínica Geral</w:t>
      </w:r>
      <w:r w:rsidRPr="007F2BFA">
        <w:t>;</w:t>
      </w:r>
      <w:r>
        <w:rPr>
          <w:b/>
        </w:rPr>
        <w:t xml:space="preserve"> </w:t>
      </w:r>
      <w:r w:rsidRPr="007F2BFA">
        <w:t>v</w:t>
      </w:r>
      <w:r>
        <w:t xml:space="preserve">. 27, n. 6, 2012. </w:t>
      </w:r>
      <w:r w:rsidRPr="00C82ACB">
        <w:t>Disponível em</w:t>
      </w:r>
      <w:r>
        <w:t xml:space="preserve">: </w:t>
      </w:r>
      <w:r w:rsidR="008D0309" w:rsidRPr="008D0309">
        <w:t>http://www.scielo.mec.pt/scielo.php?script=sci_arttext&amp;pid=S0870-71032011000600011</w:t>
      </w:r>
    </w:p>
    <w:p w14:paraId="300BF65D" w14:textId="77777777" w:rsidR="007F2BFA" w:rsidRPr="009E1AB1" w:rsidRDefault="007F2BFA" w:rsidP="00EE0C78">
      <w:pPr>
        <w:tabs>
          <w:tab w:val="left" w:pos="5130"/>
        </w:tabs>
        <w:spacing w:after="0" w:line="240" w:lineRule="auto"/>
        <w:jc w:val="both"/>
        <w:rPr>
          <w:rFonts w:ascii="Times New Roman" w:hAnsi="Times New Roman"/>
          <w:sz w:val="24"/>
          <w:szCs w:val="24"/>
        </w:rPr>
      </w:pPr>
    </w:p>
    <w:p w14:paraId="55F70F7F" w14:textId="77777777" w:rsidR="009E1AB1" w:rsidRPr="00503B5F" w:rsidRDefault="009E1AB1" w:rsidP="00EE0C78">
      <w:pPr>
        <w:tabs>
          <w:tab w:val="left" w:pos="5130"/>
        </w:tabs>
        <w:spacing w:after="0" w:line="240" w:lineRule="auto"/>
        <w:jc w:val="both"/>
        <w:rPr>
          <w:rFonts w:ascii="Times New Roman" w:hAnsi="Times New Roman"/>
          <w:sz w:val="24"/>
          <w:szCs w:val="24"/>
        </w:rPr>
      </w:pPr>
      <w:r w:rsidRPr="009E1AB1">
        <w:rPr>
          <w:rFonts w:ascii="Times New Roman" w:hAnsi="Times New Roman"/>
          <w:sz w:val="24"/>
          <w:szCs w:val="24"/>
        </w:rPr>
        <w:t>LÁZARI, C. S. L; GRANATO, C. G; PCR em tempo real é o método mais acurado para detectar o vírus varicela-</w:t>
      </w:r>
      <w:proofErr w:type="spellStart"/>
      <w:r w:rsidRPr="009E1AB1">
        <w:rPr>
          <w:rFonts w:ascii="Times New Roman" w:hAnsi="Times New Roman"/>
          <w:sz w:val="24"/>
          <w:szCs w:val="24"/>
        </w:rPr>
        <w:t>zóster</w:t>
      </w:r>
      <w:proofErr w:type="spellEnd"/>
      <w:r w:rsidRPr="009E1AB1">
        <w:rPr>
          <w:rFonts w:ascii="Times New Roman" w:hAnsi="Times New Roman"/>
          <w:sz w:val="24"/>
          <w:szCs w:val="24"/>
        </w:rPr>
        <w:t xml:space="preserve"> em imunossuprimidos, </w:t>
      </w:r>
      <w:r w:rsidRPr="009E1AB1">
        <w:rPr>
          <w:rFonts w:ascii="Times New Roman" w:hAnsi="Times New Roman"/>
          <w:b/>
          <w:sz w:val="24"/>
          <w:szCs w:val="24"/>
        </w:rPr>
        <w:t>Revista Médica</w:t>
      </w:r>
      <w:r w:rsidRPr="009E1AB1">
        <w:rPr>
          <w:rFonts w:ascii="Times New Roman" w:hAnsi="Times New Roman"/>
          <w:sz w:val="24"/>
          <w:szCs w:val="24"/>
        </w:rPr>
        <w:t xml:space="preserve">, n. 05, 2015. Disponível em: </w:t>
      </w:r>
      <w:r w:rsidR="00503B5F">
        <w:rPr>
          <w:rFonts w:ascii="Times New Roman" w:hAnsi="Times New Roman"/>
          <w:sz w:val="24"/>
          <w:szCs w:val="24"/>
        </w:rPr>
        <w:t>&lt;</w:t>
      </w:r>
      <w:r w:rsidRPr="009E1AB1">
        <w:rPr>
          <w:rFonts w:ascii="Times New Roman" w:hAnsi="Times New Roman"/>
          <w:sz w:val="24"/>
          <w:szCs w:val="24"/>
        </w:rPr>
        <w:t>https://www.fleury.com.br/medico/artigos-cientificos/pcr-em-tempo-real-e-o-metodo-mais-acurado-para-detectar-o-virus-varicela-zoster-em-imunossuprimidos-revista-medica-ed-4-2015</w:t>
      </w:r>
      <w:r w:rsidR="00503B5F">
        <w:rPr>
          <w:rFonts w:ascii="Times New Roman" w:hAnsi="Times New Roman"/>
          <w:sz w:val="24"/>
          <w:szCs w:val="24"/>
        </w:rPr>
        <w:t>&gt;</w:t>
      </w:r>
      <w:r w:rsidRPr="009E1AB1">
        <w:rPr>
          <w:rFonts w:ascii="Times New Roman" w:hAnsi="Times New Roman"/>
          <w:sz w:val="24"/>
          <w:szCs w:val="24"/>
        </w:rPr>
        <w:t xml:space="preserve">. </w:t>
      </w:r>
      <w:r w:rsidRPr="00503B5F">
        <w:rPr>
          <w:rFonts w:ascii="Times New Roman" w:hAnsi="Times New Roman"/>
          <w:sz w:val="24"/>
          <w:szCs w:val="24"/>
        </w:rPr>
        <w:t>Acesso em: 20 nov. 2020.</w:t>
      </w:r>
    </w:p>
    <w:p w14:paraId="4D8F6EC9" w14:textId="77777777" w:rsidR="00E95A56" w:rsidRPr="0073613E" w:rsidRDefault="00E95A56" w:rsidP="00EE0C78">
      <w:pPr>
        <w:tabs>
          <w:tab w:val="left" w:pos="5130"/>
        </w:tabs>
        <w:spacing w:after="0" w:line="240" w:lineRule="auto"/>
        <w:jc w:val="both"/>
        <w:rPr>
          <w:rFonts w:ascii="Times New Roman" w:hAnsi="Times New Roman"/>
          <w:sz w:val="24"/>
          <w:szCs w:val="24"/>
          <w:lang w:val="en-US"/>
        </w:rPr>
      </w:pPr>
    </w:p>
    <w:p w14:paraId="1DD92070" w14:textId="77777777" w:rsidR="005006D7" w:rsidRPr="001D29DC" w:rsidRDefault="005006D7" w:rsidP="005006D7">
      <w:pPr>
        <w:tabs>
          <w:tab w:val="left" w:pos="5130"/>
        </w:tabs>
        <w:spacing w:after="0" w:line="240" w:lineRule="auto"/>
        <w:jc w:val="both"/>
        <w:rPr>
          <w:rFonts w:ascii="Times New Roman" w:hAnsi="Times New Roman"/>
          <w:sz w:val="24"/>
          <w:szCs w:val="24"/>
        </w:rPr>
      </w:pPr>
      <w:r w:rsidRPr="001D29DC">
        <w:rPr>
          <w:rFonts w:ascii="Times New Roman" w:hAnsi="Times New Roman"/>
          <w:sz w:val="24"/>
          <w:szCs w:val="24"/>
          <w:lang w:val="en-US"/>
        </w:rPr>
        <w:t>LINDSTRÖM, J</w:t>
      </w:r>
      <w:r w:rsidR="00724E95" w:rsidRPr="001D29DC">
        <w:rPr>
          <w:rFonts w:ascii="Times New Roman" w:hAnsi="Times New Roman"/>
          <w:sz w:val="24"/>
          <w:szCs w:val="24"/>
          <w:lang w:val="en-US"/>
        </w:rPr>
        <w:t>.</w:t>
      </w:r>
      <w:r w:rsidR="00A05F8C">
        <w:rPr>
          <w:rFonts w:ascii="Times New Roman" w:hAnsi="Times New Roman"/>
          <w:sz w:val="24"/>
          <w:szCs w:val="24"/>
          <w:lang w:val="en-US"/>
        </w:rPr>
        <w:t>; GRAHN, A.;</w:t>
      </w:r>
      <w:r w:rsidR="00A05F8C" w:rsidRPr="00A05F8C">
        <w:rPr>
          <w:rFonts w:ascii="Times New Roman" w:hAnsi="Times New Roman"/>
          <w:sz w:val="24"/>
          <w:szCs w:val="24"/>
          <w:lang w:val="en-US"/>
        </w:rPr>
        <w:t xml:space="preserve"> ZETTERBERG</w:t>
      </w:r>
      <w:r w:rsidR="00A05F8C">
        <w:rPr>
          <w:rFonts w:ascii="Times New Roman" w:hAnsi="Times New Roman"/>
          <w:sz w:val="24"/>
          <w:szCs w:val="24"/>
          <w:lang w:val="en-US"/>
        </w:rPr>
        <w:t xml:space="preserve">, H.; </w:t>
      </w:r>
      <w:r w:rsidR="00A05F8C" w:rsidRPr="00A05F8C">
        <w:rPr>
          <w:rFonts w:ascii="Times New Roman" w:hAnsi="Times New Roman"/>
          <w:sz w:val="24"/>
          <w:szCs w:val="24"/>
          <w:lang w:val="en-US"/>
        </w:rPr>
        <w:t>STUDAHL</w:t>
      </w:r>
      <w:r w:rsidR="00A05F8C">
        <w:rPr>
          <w:rFonts w:ascii="Times New Roman" w:hAnsi="Times New Roman"/>
          <w:sz w:val="24"/>
          <w:szCs w:val="24"/>
          <w:lang w:val="en-US"/>
        </w:rPr>
        <w:t xml:space="preserve">, </w:t>
      </w:r>
      <w:proofErr w:type="gramStart"/>
      <w:r w:rsidR="00A05F8C">
        <w:rPr>
          <w:rFonts w:ascii="Times New Roman" w:hAnsi="Times New Roman"/>
          <w:sz w:val="24"/>
          <w:szCs w:val="24"/>
          <w:lang w:val="en-US"/>
        </w:rPr>
        <w:t>M.</w:t>
      </w:r>
      <w:r w:rsidR="00A05F8C" w:rsidRPr="001D29DC">
        <w:rPr>
          <w:rFonts w:ascii="Times New Roman" w:hAnsi="Times New Roman"/>
          <w:sz w:val="24"/>
          <w:szCs w:val="24"/>
          <w:lang w:val="en-US"/>
        </w:rPr>
        <w:t>.</w:t>
      </w:r>
      <w:proofErr w:type="gramEnd"/>
      <w:r w:rsidR="00A05F8C" w:rsidRPr="001D29DC">
        <w:rPr>
          <w:rFonts w:ascii="Times New Roman" w:hAnsi="Times New Roman"/>
          <w:sz w:val="24"/>
          <w:szCs w:val="24"/>
          <w:lang w:val="en-US"/>
        </w:rPr>
        <w:t xml:space="preserve"> </w:t>
      </w:r>
      <w:r w:rsidRPr="001D29DC">
        <w:rPr>
          <w:rFonts w:ascii="Times New Roman" w:hAnsi="Times New Roman"/>
          <w:sz w:val="24"/>
          <w:szCs w:val="24"/>
          <w:lang w:val="en-US"/>
        </w:rPr>
        <w:t xml:space="preserve">Cerebrospinal fluid viral load and biomarkers of neuronal and glial cells in </w:t>
      </w:r>
      <w:proofErr w:type="spellStart"/>
      <w:r w:rsidRPr="001D29DC">
        <w:rPr>
          <w:rFonts w:ascii="Times New Roman" w:hAnsi="Times New Roman"/>
          <w:sz w:val="24"/>
          <w:szCs w:val="24"/>
          <w:lang w:val="en-US"/>
        </w:rPr>
        <w:t>RamsayHunt</w:t>
      </w:r>
      <w:proofErr w:type="spellEnd"/>
      <w:r w:rsidRPr="001D29DC">
        <w:rPr>
          <w:rFonts w:ascii="Times New Roman" w:hAnsi="Times New Roman"/>
          <w:sz w:val="24"/>
          <w:szCs w:val="24"/>
          <w:lang w:val="en-US"/>
        </w:rPr>
        <w:t xml:space="preserve"> syndrome</w:t>
      </w:r>
      <w:r w:rsidR="00724E95" w:rsidRPr="001D29DC">
        <w:rPr>
          <w:rFonts w:ascii="Times New Roman" w:hAnsi="Times New Roman"/>
          <w:sz w:val="24"/>
          <w:szCs w:val="24"/>
          <w:lang w:val="en-US"/>
        </w:rPr>
        <w:t xml:space="preserve">. </w:t>
      </w:r>
      <w:r w:rsidR="00724E95" w:rsidRPr="001D29DC">
        <w:rPr>
          <w:rFonts w:ascii="Times New Roman" w:hAnsi="Times New Roman"/>
          <w:b/>
          <w:sz w:val="24"/>
          <w:szCs w:val="24"/>
        </w:rPr>
        <w:t>Jornal Europeu de Neurociências</w:t>
      </w:r>
      <w:r w:rsidR="00724E95" w:rsidRPr="001D29DC">
        <w:rPr>
          <w:rFonts w:ascii="Times New Roman" w:hAnsi="Times New Roman"/>
          <w:sz w:val="24"/>
          <w:szCs w:val="24"/>
        </w:rPr>
        <w:t>, v. 44, n. 11, p. 2944-2949, 2016. Disponível em: &lt;https://pubmed.ncbi.nlm.nih.gov/27643680/&gt;. Acesso em: 07 nov. 2020.</w:t>
      </w:r>
    </w:p>
    <w:p w14:paraId="2DBE3A83" w14:textId="77777777" w:rsidR="00E04FF1" w:rsidRDefault="00E04FF1" w:rsidP="00EE0C78">
      <w:pPr>
        <w:tabs>
          <w:tab w:val="left" w:pos="5130"/>
        </w:tabs>
        <w:spacing w:after="0" w:line="240" w:lineRule="auto"/>
        <w:jc w:val="both"/>
        <w:rPr>
          <w:rFonts w:ascii="Times New Roman" w:hAnsi="Times New Roman"/>
          <w:sz w:val="24"/>
          <w:szCs w:val="24"/>
        </w:rPr>
      </w:pPr>
    </w:p>
    <w:p w14:paraId="75D7748D" w14:textId="77777777" w:rsidR="00A05F8C" w:rsidRPr="005270D4" w:rsidRDefault="00A05F8C" w:rsidP="00A05F8C">
      <w:pPr>
        <w:pStyle w:val="SemEspaamento"/>
      </w:pPr>
      <w:r w:rsidRPr="005270D4">
        <w:t>NETTER, F.</w:t>
      </w:r>
      <w:r>
        <w:t xml:space="preserve"> </w:t>
      </w:r>
      <w:r w:rsidRPr="005270D4">
        <w:t xml:space="preserve">H. </w:t>
      </w:r>
      <w:r w:rsidRPr="00A05F8C">
        <w:rPr>
          <w:b/>
        </w:rPr>
        <w:t>Atlas de Anatomia Humana</w:t>
      </w:r>
      <w:r w:rsidRPr="005270D4">
        <w:t>,</w:t>
      </w:r>
      <w:r>
        <w:t xml:space="preserve"> </w:t>
      </w:r>
      <w:r w:rsidRPr="005270D4">
        <w:t>2ª Edição</w:t>
      </w:r>
      <w:r>
        <w:t xml:space="preserve"> – ONLINE,</w:t>
      </w:r>
      <w:r w:rsidRPr="005270D4">
        <w:t xml:space="preserve"> Porto Alegre: Artmed, 2000</w:t>
      </w:r>
      <w:r>
        <w:t xml:space="preserve">. </w:t>
      </w:r>
      <w:r w:rsidRPr="005270D4">
        <w:t xml:space="preserve">Disponível em: </w:t>
      </w:r>
      <w:r w:rsidR="00503B5F" w:rsidRPr="00503B5F">
        <w:t>https://www.auladeanatomia.com/novosite/pt/sistemas/sistema-nervoso/sn-periferico/nervos-cranianos/</w:t>
      </w:r>
      <w:r w:rsidR="00503B5F">
        <w:t xml:space="preserve">&gt;. </w:t>
      </w:r>
      <w:r w:rsidRPr="005270D4">
        <w:t>Acesso em: 24 out. 2020.</w:t>
      </w:r>
    </w:p>
    <w:p w14:paraId="659F3191" w14:textId="77777777" w:rsidR="00A05F8C" w:rsidRPr="001D29DC" w:rsidRDefault="00A05F8C" w:rsidP="00EE0C78">
      <w:pPr>
        <w:tabs>
          <w:tab w:val="left" w:pos="5130"/>
        </w:tabs>
        <w:spacing w:after="0" w:line="240" w:lineRule="auto"/>
        <w:jc w:val="both"/>
        <w:rPr>
          <w:rFonts w:ascii="Times New Roman" w:hAnsi="Times New Roman"/>
          <w:sz w:val="24"/>
          <w:szCs w:val="24"/>
        </w:rPr>
      </w:pPr>
    </w:p>
    <w:p w14:paraId="273D7AB1" w14:textId="77777777" w:rsidR="00EE0C78" w:rsidRPr="001D29DC" w:rsidRDefault="00A805BB" w:rsidP="00EE0C78">
      <w:pPr>
        <w:tabs>
          <w:tab w:val="left" w:pos="5130"/>
        </w:tabs>
        <w:spacing w:after="0" w:line="240" w:lineRule="auto"/>
        <w:jc w:val="both"/>
        <w:rPr>
          <w:rFonts w:ascii="Times New Roman" w:hAnsi="Times New Roman"/>
          <w:b/>
          <w:sz w:val="24"/>
          <w:szCs w:val="24"/>
        </w:rPr>
      </w:pPr>
      <w:r w:rsidRPr="001D29DC">
        <w:rPr>
          <w:rFonts w:ascii="Times New Roman" w:hAnsi="Times New Roman"/>
          <w:sz w:val="24"/>
          <w:szCs w:val="24"/>
        </w:rPr>
        <w:t>OLIVEIRA, F. S</w:t>
      </w:r>
      <w:r w:rsidR="00EE0C78" w:rsidRPr="001D29DC">
        <w:rPr>
          <w:rFonts w:ascii="Times New Roman" w:hAnsi="Times New Roman"/>
          <w:sz w:val="24"/>
          <w:szCs w:val="24"/>
        </w:rPr>
        <w:t xml:space="preserve">.; COSTA, J. A.; FLORENTINO, J. S. </w:t>
      </w:r>
      <w:r w:rsidR="00EE0C78" w:rsidRPr="001D29DC">
        <w:rPr>
          <w:rFonts w:ascii="Times New Roman" w:hAnsi="Times New Roman"/>
          <w:b/>
          <w:sz w:val="24"/>
          <w:szCs w:val="24"/>
        </w:rPr>
        <w:t>Compreensão e validação da versão</w:t>
      </w:r>
    </w:p>
    <w:p w14:paraId="7C98AB2B" w14:textId="77777777" w:rsidR="00EE0C78" w:rsidRPr="001D29DC" w:rsidRDefault="00EE0C78" w:rsidP="00EE0C78">
      <w:pPr>
        <w:tabs>
          <w:tab w:val="left" w:pos="5130"/>
        </w:tabs>
        <w:spacing w:after="0" w:line="240" w:lineRule="auto"/>
        <w:jc w:val="both"/>
        <w:rPr>
          <w:rFonts w:ascii="Times New Roman" w:hAnsi="Times New Roman"/>
          <w:sz w:val="24"/>
          <w:szCs w:val="24"/>
        </w:rPr>
      </w:pPr>
      <w:r w:rsidRPr="001D29DC">
        <w:rPr>
          <w:rFonts w:ascii="Times New Roman" w:hAnsi="Times New Roman"/>
          <w:b/>
          <w:sz w:val="24"/>
          <w:szCs w:val="24"/>
        </w:rPr>
        <w:t xml:space="preserve">portuguesa da escala facial de </w:t>
      </w:r>
      <w:proofErr w:type="spellStart"/>
      <w:r w:rsidRPr="001D29DC">
        <w:rPr>
          <w:rFonts w:ascii="Times New Roman" w:hAnsi="Times New Roman"/>
          <w:b/>
          <w:sz w:val="24"/>
          <w:szCs w:val="24"/>
        </w:rPr>
        <w:t>Sunnybrook</w:t>
      </w:r>
      <w:proofErr w:type="spellEnd"/>
      <w:r w:rsidRPr="001D29DC">
        <w:rPr>
          <w:rFonts w:ascii="Times New Roman" w:hAnsi="Times New Roman"/>
          <w:sz w:val="24"/>
          <w:szCs w:val="24"/>
        </w:rPr>
        <w:t>.</w:t>
      </w:r>
      <w:r w:rsidR="00E748BD">
        <w:rPr>
          <w:rFonts w:ascii="Times New Roman" w:hAnsi="Times New Roman"/>
          <w:sz w:val="24"/>
          <w:szCs w:val="24"/>
        </w:rPr>
        <w:t xml:space="preserve"> </w:t>
      </w:r>
      <w:proofErr w:type="gramStart"/>
      <w:r w:rsidR="00E748BD">
        <w:rPr>
          <w:rFonts w:ascii="Times New Roman" w:hAnsi="Times New Roman"/>
          <w:sz w:val="24"/>
          <w:szCs w:val="24"/>
        </w:rPr>
        <w:t xml:space="preserve">2017 </w:t>
      </w:r>
      <w:r w:rsidR="00A805BB" w:rsidRPr="001D29DC">
        <w:rPr>
          <w:rFonts w:ascii="Times New Roman" w:hAnsi="Times New Roman"/>
          <w:sz w:val="24"/>
          <w:szCs w:val="24"/>
        </w:rPr>
        <w:t>.</w:t>
      </w:r>
      <w:proofErr w:type="gramEnd"/>
      <w:r w:rsidR="00A805BB" w:rsidRPr="001D29DC">
        <w:rPr>
          <w:rFonts w:ascii="Times New Roman" w:hAnsi="Times New Roman"/>
          <w:sz w:val="24"/>
          <w:szCs w:val="24"/>
        </w:rPr>
        <w:t xml:space="preserve"> Trabalho de Conclusão de Curso (Bacharel em Odontologia) - Faculdade de Pindamonhangaba, Pindamonhangaba</w:t>
      </w:r>
      <w:r w:rsidRPr="001D29DC">
        <w:rPr>
          <w:rFonts w:ascii="Times New Roman" w:hAnsi="Times New Roman"/>
          <w:sz w:val="24"/>
          <w:szCs w:val="24"/>
        </w:rPr>
        <w:t xml:space="preserve">. Disponível em: </w:t>
      </w:r>
      <w:r w:rsidR="00A805BB" w:rsidRPr="001D29DC">
        <w:rPr>
          <w:rFonts w:ascii="Times New Roman" w:hAnsi="Times New Roman"/>
          <w:sz w:val="24"/>
          <w:szCs w:val="24"/>
        </w:rPr>
        <w:t>&lt;https://docplayer.com.br/85427883-Fabiana-de-oliveira-siqueira-josiane-aparecida-da-costa-juliana-dos-santos-florentino.html&gt;. Acesso em: 20 out. 2020.</w:t>
      </w:r>
    </w:p>
    <w:p w14:paraId="07EB8CC8" w14:textId="77777777" w:rsidR="00546DA8" w:rsidRDefault="00546DA8" w:rsidP="00EE0C78">
      <w:pPr>
        <w:tabs>
          <w:tab w:val="left" w:pos="5130"/>
        </w:tabs>
        <w:spacing w:after="0" w:line="240" w:lineRule="auto"/>
        <w:jc w:val="both"/>
        <w:rPr>
          <w:rFonts w:ascii="Times New Roman" w:hAnsi="Times New Roman"/>
          <w:sz w:val="24"/>
          <w:szCs w:val="24"/>
        </w:rPr>
      </w:pPr>
    </w:p>
    <w:p w14:paraId="72848761" w14:textId="77777777" w:rsidR="00CF40B9" w:rsidRPr="00B34782" w:rsidRDefault="00CF40B9" w:rsidP="00CF40B9">
      <w:pPr>
        <w:pStyle w:val="SemEspaamento"/>
      </w:pPr>
      <w:r w:rsidRPr="00B34782">
        <w:t>PORTELLA, A.</w:t>
      </w:r>
      <w:r>
        <w:t xml:space="preserve"> </w:t>
      </w:r>
      <w:r w:rsidRPr="00B34782">
        <w:t>V.</w:t>
      </w:r>
      <w:r>
        <w:t xml:space="preserve"> </w:t>
      </w:r>
      <w:r w:rsidRPr="00B34782">
        <w:t>T.</w:t>
      </w:r>
      <w:r>
        <w:t xml:space="preserve"> </w:t>
      </w:r>
      <w:r w:rsidRPr="00B34782">
        <w:t>P.; SOUZA, L.</w:t>
      </w:r>
      <w:r>
        <w:t xml:space="preserve"> </w:t>
      </w:r>
      <w:r w:rsidRPr="00B34782">
        <w:t>C.</w:t>
      </w:r>
      <w:r>
        <w:t xml:space="preserve"> </w:t>
      </w:r>
      <w:r w:rsidRPr="00B34782">
        <w:t>B.</w:t>
      </w:r>
      <w:r>
        <w:t xml:space="preserve"> </w:t>
      </w:r>
      <w:r w:rsidRPr="00B34782">
        <w:t>S.; GOMES, J.</w:t>
      </w:r>
      <w:r>
        <w:t xml:space="preserve"> </w:t>
      </w:r>
      <w:r w:rsidRPr="00B34782">
        <w:t>M.</w:t>
      </w:r>
      <w:r>
        <w:t xml:space="preserve"> </w:t>
      </w:r>
      <w:r w:rsidRPr="00B34782">
        <w:t>A.</w:t>
      </w:r>
      <w:r>
        <w:t xml:space="preserve"> </w:t>
      </w:r>
      <w:proofErr w:type="gramStart"/>
      <w:r w:rsidRPr="00B34782">
        <w:t>G</w:t>
      </w:r>
      <w:r>
        <w:t>..</w:t>
      </w:r>
      <w:proofErr w:type="gramEnd"/>
      <w:r w:rsidRPr="00CF40B9">
        <w:t xml:space="preserve"> Herpes-</w:t>
      </w:r>
      <w:proofErr w:type="spellStart"/>
      <w:r w:rsidRPr="00CF40B9">
        <w:t>zóster</w:t>
      </w:r>
      <w:proofErr w:type="spellEnd"/>
      <w:r w:rsidRPr="00CF40B9">
        <w:t xml:space="preserve"> e neuralgia pós-herpética,</w:t>
      </w:r>
      <w:r>
        <w:rPr>
          <w:b/>
        </w:rPr>
        <w:t xml:space="preserve"> Revista Dor, </w:t>
      </w:r>
      <w:r w:rsidRPr="00CF40B9">
        <w:t>v. 14, n. 3, 2013</w:t>
      </w:r>
      <w:r>
        <w:rPr>
          <w:b/>
        </w:rPr>
        <w:t>.</w:t>
      </w:r>
      <w:r w:rsidRPr="00B34782">
        <w:t xml:space="preserve"> Disponível em:</w:t>
      </w:r>
      <w:r w:rsidR="00503B5F">
        <w:t xml:space="preserve"> &lt;</w:t>
      </w:r>
      <w:r w:rsidRPr="00B34782">
        <w:t>https://www.scielo.br/scielo.php?script=sci_arttext&amp;pid=S1806-00132013000300012</w:t>
      </w:r>
      <w:r w:rsidR="00503B5F">
        <w:t>&gt;</w:t>
      </w:r>
      <w:r>
        <w:t>. Acesso em 28 nov. 2020.</w:t>
      </w:r>
    </w:p>
    <w:p w14:paraId="614A9351" w14:textId="77777777" w:rsidR="00CF40B9" w:rsidRPr="009E1AB1" w:rsidRDefault="00CF40B9" w:rsidP="00EE0C78">
      <w:pPr>
        <w:tabs>
          <w:tab w:val="left" w:pos="5130"/>
        </w:tabs>
        <w:spacing w:after="0" w:line="240" w:lineRule="auto"/>
        <w:jc w:val="both"/>
        <w:rPr>
          <w:rFonts w:ascii="Times New Roman" w:hAnsi="Times New Roman"/>
          <w:sz w:val="24"/>
          <w:szCs w:val="24"/>
        </w:rPr>
      </w:pPr>
    </w:p>
    <w:p w14:paraId="050266AB" w14:textId="77777777" w:rsidR="00DA290D" w:rsidRPr="001D29DC" w:rsidRDefault="009E1AB1" w:rsidP="00EE0C78">
      <w:pPr>
        <w:tabs>
          <w:tab w:val="left" w:pos="5130"/>
        </w:tabs>
        <w:spacing w:after="0" w:line="240" w:lineRule="auto"/>
        <w:jc w:val="both"/>
        <w:rPr>
          <w:rFonts w:ascii="Times New Roman" w:hAnsi="Times New Roman"/>
          <w:sz w:val="24"/>
          <w:szCs w:val="24"/>
        </w:rPr>
      </w:pPr>
      <w:r w:rsidRPr="00E748BD">
        <w:rPr>
          <w:rFonts w:ascii="Times New Roman" w:hAnsi="Times New Roman"/>
          <w:sz w:val="24"/>
          <w:szCs w:val="24"/>
          <w:lang w:val="en-US"/>
        </w:rPr>
        <w:lastRenderedPageBreak/>
        <w:t>SHIN, D. H.</w:t>
      </w:r>
      <w:r w:rsidRPr="00E748BD">
        <w:rPr>
          <w:rFonts w:ascii="Times New Roman" w:hAnsi="Times New Roman"/>
          <w:lang w:val="en-US"/>
        </w:rPr>
        <w:t xml:space="preserve">; </w:t>
      </w:r>
      <w:r w:rsidRPr="00E748BD">
        <w:rPr>
          <w:rFonts w:ascii="Times New Roman" w:hAnsi="Times New Roman"/>
          <w:sz w:val="24"/>
          <w:szCs w:val="24"/>
          <w:lang w:val="en-US"/>
        </w:rPr>
        <w:t xml:space="preserve">KIM, B.; SHIN, J. E.; KIM, </w:t>
      </w:r>
      <w:proofErr w:type="gramStart"/>
      <w:r w:rsidRPr="00E748BD">
        <w:rPr>
          <w:rFonts w:ascii="Times New Roman" w:hAnsi="Times New Roman"/>
          <w:sz w:val="24"/>
          <w:szCs w:val="24"/>
          <w:lang w:val="en-US"/>
        </w:rPr>
        <w:t>C..</w:t>
      </w:r>
      <w:proofErr w:type="gramEnd"/>
      <w:r w:rsidRPr="00E748BD">
        <w:rPr>
          <w:rFonts w:ascii="Times New Roman" w:hAnsi="Times New Roman"/>
          <w:sz w:val="24"/>
          <w:szCs w:val="24"/>
          <w:lang w:val="en-US"/>
        </w:rPr>
        <w:t xml:space="preserve"> </w:t>
      </w:r>
      <w:r w:rsidR="00DA290D" w:rsidRPr="00747291">
        <w:rPr>
          <w:rFonts w:ascii="Times New Roman" w:hAnsi="Times New Roman"/>
          <w:sz w:val="24"/>
          <w:szCs w:val="24"/>
          <w:lang w:val="en-US"/>
        </w:rPr>
        <w:t xml:space="preserve">Clinical manifestations in patients with herpes zoster </w:t>
      </w:r>
      <w:proofErr w:type="spellStart"/>
      <w:r w:rsidR="00DA290D" w:rsidRPr="00747291">
        <w:rPr>
          <w:rFonts w:ascii="Times New Roman" w:hAnsi="Times New Roman"/>
          <w:sz w:val="24"/>
          <w:szCs w:val="24"/>
          <w:lang w:val="en-US"/>
        </w:rPr>
        <w:t>oticus</w:t>
      </w:r>
      <w:proofErr w:type="spellEnd"/>
      <w:r w:rsidR="00DA290D" w:rsidRPr="00747291">
        <w:rPr>
          <w:rFonts w:ascii="Times New Roman" w:hAnsi="Times New Roman"/>
          <w:sz w:val="24"/>
          <w:szCs w:val="24"/>
          <w:lang w:val="en-US"/>
        </w:rPr>
        <w:t xml:space="preserve">. </w:t>
      </w:r>
      <w:r w:rsidR="00DA290D" w:rsidRPr="00E748BD">
        <w:rPr>
          <w:rFonts w:ascii="Times New Roman" w:hAnsi="Times New Roman"/>
          <w:b/>
          <w:sz w:val="24"/>
          <w:szCs w:val="24"/>
        </w:rPr>
        <w:t>Arquivo Europeu de Otorrinolaringologia</w:t>
      </w:r>
      <w:r w:rsidR="00DA290D" w:rsidRPr="00E748BD">
        <w:rPr>
          <w:rFonts w:ascii="Times New Roman" w:hAnsi="Times New Roman"/>
          <w:sz w:val="24"/>
          <w:szCs w:val="24"/>
        </w:rPr>
        <w:t xml:space="preserve">, v. 273, n. 7, p. 1739-43, 2016. Disponível em: &lt;https://pubmed.ncbi.nlm.nih.gov/26308524/&gt;. Acesso em: 28 nov. </w:t>
      </w:r>
      <w:r w:rsidR="00AF4FD4" w:rsidRPr="00E748BD">
        <w:rPr>
          <w:rFonts w:ascii="Times New Roman" w:hAnsi="Times New Roman"/>
          <w:sz w:val="24"/>
          <w:szCs w:val="24"/>
        </w:rPr>
        <w:t>2020.</w:t>
      </w:r>
    </w:p>
    <w:p w14:paraId="4829523D" w14:textId="77777777" w:rsidR="00DA290D" w:rsidRDefault="00DA290D" w:rsidP="00EE0C78">
      <w:pPr>
        <w:tabs>
          <w:tab w:val="left" w:pos="5130"/>
        </w:tabs>
        <w:spacing w:after="0" w:line="240" w:lineRule="auto"/>
        <w:jc w:val="both"/>
        <w:rPr>
          <w:rFonts w:ascii="Times New Roman" w:hAnsi="Times New Roman"/>
          <w:sz w:val="24"/>
          <w:szCs w:val="24"/>
        </w:rPr>
      </w:pPr>
    </w:p>
    <w:p w14:paraId="7444B6C3" w14:textId="77777777" w:rsidR="00C82ACB" w:rsidRDefault="00C82ACB" w:rsidP="00C82ACB">
      <w:pPr>
        <w:pStyle w:val="SemEspaamento"/>
        <w:rPr>
          <w:b/>
        </w:rPr>
      </w:pPr>
      <w:r>
        <w:t xml:space="preserve">SILVA, A. B. C. S.; LEÃO, L. C. B. L.; COSTA, L. A. C.; LÔBO, M. H. S. L.; OLIVEIRA, R. G. N. O.; </w:t>
      </w:r>
      <w:r w:rsidRPr="00C82ACB">
        <w:t xml:space="preserve">MOREIRA, E. S. M. M.;SILVA, R. M. S.; TACON, K. C. B. T.; Uso Da Escala De </w:t>
      </w:r>
      <w:proofErr w:type="spellStart"/>
      <w:r w:rsidRPr="00C82ACB">
        <w:t>House</w:t>
      </w:r>
      <w:proofErr w:type="spellEnd"/>
      <w:r w:rsidRPr="00C82ACB">
        <w:t xml:space="preserve"> </w:t>
      </w:r>
      <w:proofErr w:type="spellStart"/>
      <w:r w:rsidRPr="00C82ACB">
        <w:t>Breackmann</w:t>
      </w:r>
      <w:proofErr w:type="spellEnd"/>
      <w:r w:rsidRPr="00C82ACB">
        <w:t xml:space="preserve"> Como Parâmetro Na Evolução Da Paralisia Facial Periférica: Um Relato De Caso,</w:t>
      </w:r>
      <w:r>
        <w:rPr>
          <w:b/>
        </w:rPr>
        <w:t xml:space="preserve"> </w:t>
      </w:r>
      <w:r w:rsidRPr="009E1AB1">
        <w:rPr>
          <w:b/>
        </w:rPr>
        <w:t>III CIPEEX - Ciência para a redução das desigualdades</w:t>
      </w:r>
      <w:r>
        <w:rPr>
          <w:b/>
        </w:rPr>
        <w:t xml:space="preserve">, </w:t>
      </w:r>
      <w:r w:rsidRPr="00C82ACB">
        <w:t>v. 2, 2</w:t>
      </w:r>
      <w:r w:rsidR="00E748BD">
        <w:t>018</w:t>
      </w:r>
      <w:r w:rsidRPr="00C82ACB">
        <w:t xml:space="preserve">. </w:t>
      </w:r>
      <w:r w:rsidRPr="005270D4">
        <w:t>Disponível em:</w:t>
      </w:r>
      <w:r>
        <w:t xml:space="preserve"> </w:t>
      </w:r>
      <w:r w:rsidR="00503B5F">
        <w:t>&lt;</w:t>
      </w:r>
      <w:r w:rsidRPr="00D00B50">
        <w:t>http://anais.unievangelica.edu.br/index.php/CIPEEX/article/view/2902/1574</w:t>
      </w:r>
      <w:r w:rsidR="00503B5F">
        <w:t>&gt;</w:t>
      </w:r>
      <w:r>
        <w:t>. Acesso em 22 nov. 2020.</w:t>
      </w:r>
    </w:p>
    <w:p w14:paraId="0B24576C" w14:textId="77777777" w:rsidR="00C82ACB" w:rsidRPr="001D29DC" w:rsidRDefault="00C82ACB" w:rsidP="00EE0C78">
      <w:pPr>
        <w:tabs>
          <w:tab w:val="left" w:pos="5130"/>
        </w:tabs>
        <w:spacing w:after="0" w:line="240" w:lineRule="auto"/>
        <w:jc w:val="both"/>
        <w:rPr>
          <w:rFonts w:ascii="Times New Roman" w:hAnsi="Times New Roman"/>
          <w:sz w:val="24"/>
          <w:szCs w:val="24"/>
        </w:rPr>
      </w:pPr>
    </w:p>
    <w:p w14:paraId="0C3A7206" w14:textId="77777777" w:rsidR="00546DA8" w:rsidRPr="0073613E" w:rsidRDefault="00546DA8" w:rsidP="00EE0C78">
      <w:pPr>
        <w:tabs>
          <w:tab w:val="left" w:pos="5130"/>
        </w:tabs>
        <w:spacing w:after="0" w:line="240" w:lineRule="auto"/>
        <w:jc w:val="both"/>
        <w:rPr>
          <w:rFonts w:ascii="Times New Roman" w:hAnsi="Times New Roman"/>
          <w:sz w:val="24"/>
          <w:szCs w:val="24"/>
          <w:lang w:val="en-US"/>
        </w:rPr>
      </w:pPr>
      <w:r w:rsidRPr="001D29DC">
        <w:rPr>
          <w:rFonts w:ascii="Times New Roman" w:hAnsi="Times New Roman"/>
          <w:sz w:val="24"/>
          <w:szCs w:val="24"/>
        </w:rPr>
        <w:t xml:space="preserve">SILVA, A. </w:t>
      </w:r>
      <w:r w:rsidR="00B9300A" w:rsidRPr="001D29DC">
        <w:rPr>
          <w:rFonts w:ascii="Times New Roman" w:hAnsi="Times New Roman"/>
          <w:sz w:val="24"/>
          <w:szCs w:val="24"/>
        </w:rPr>
        <w:t xml:space="preserve">M. </w:t>
      </w:r>
      <w:r w:rsidR="00B9300A" w:rsidRPr="001D29DC">
        <w:rPr>
          <w:rFonts w:ascii="Times New Roman" w:hAnsi="Times New Roman"/>
          <w:b/>
          <w:sz w:val="24"/>
          <w:szCs w:val="24"/>
        </w:rPr>
        <w:t>Imunofluorescência direta e indireta: conheça as diferenças, aplicações, vantagens e desvantagens</w:t>
      </w:r>
      <w:r w:rsidR="00E748BD">
        <w:rPr>
          <w:rFonts w:ascii="Times New Roman" w:hAnsi="Times New Roman"/>
          <w:sz w:val="24"/>
          <w:szCs w:val="24"/>
        </w:rPr>
        <w:t>, 2020</w:t>
      </w:r>
      <w:r w:rsidR="006D61FD">
        <w:rPr>
          <w:rFonts w:ascii="Times New Roman" w:hAnsi="Times New Roman"/>
          <w:sz w:val="24"/>
          <w:szCs w:val="24"/>
        </w:rPr>
        <w:t>.</w:t>
      </w:r>
      <w:r w:rsidR="00B9300A" w:rsidRPr="001D29DC">
        <w:rPr>
          <w:rFonts w:ascii="Times New Roman" w:hAnsi="Times New Roman"/>
          <w:sz w:val="24"/>
          <w:szCs w:val="24"/>
        </w:rPr>
        <w:t xml:space="preserve"> Disponível em: </w:t>
      </w:r>
      <w:r w:rsidR="00503B5F">
        <w:rPr>
          <w:rFonts w:ascii="Times New Roman" w:hAnsi="Times New Roman"/>
          <w:sz w:val="24"/>
          <w:szCs w:val="24"/>
        </w:rPr>
        <w:t>&lt;</w:t>
      </w:r>
      <w:r w:rsidR="00B9300A" w:rsidRPr="001D29DC">
        <w:rPr>
          <w:rFonts w:ascii="Times New Roman" w:hAnsi="Times New Roman"/>
          <w:sz w:val="24"/>
          <w:szCs w:val="24"/>
        </w:rPr>
        <w:t>https://ibapcursos.com.br/imunofluorescencia-direta-e-indireta-conheca-as-diferencas-aplicacoes-vantagens-e- desvantagens/#:~:text=A%20t%C3%A9cnica%20de%20imunofluoresc%C3%AAncia%20</w:t>
      </w:r>
      <w:r w:rsidR="0057321C" w:rsidRPr="001D29DC">
        <w:rPr>
          <w:rFonts w:ascii="Times New Roman" w:hAnsi="Times New Roman"/>
          <w:sz w:val="24"/>
          <w:szCs w:val="24"/>
        </w:rPr>
        <w:t>iniciou, anticorpos</w:t>
      </w:r>
      <w:r w:rsidR="00B9300A" w:rsidRPr="001D29DC">
        <w:rPr>
          <w:rFonts w:ascii="Times New Roman" w:hAnsi="Times New Roman"/>
          <w:sz w:val="24"/>
          <w:szCs w:val="24"/>
        </w:rPr>
        <w:t>%20de%20pneumococos%20com%20fluoresce%C3%ADna</w:t>
      </w:r>
      <w:r w:rsidR="00503B5F">
        <w:rPr>
          <w:rFonts w:ascii="Times New Roman" w:hAnsi="Times New Roman"/>
          <w:sz w:val="24"/>
          <w:szCs w:val="24"/>
        </w:rPr>
        <w:t>&gt;</w:t>
      </w:r>
      <w:r w:rsidR="00B9300A" w:rsidRPr="001D29DC">
        <w:rPr>
          <w:rFonts w:ascii="Times New Roman" w:hAnsi="Times New Roman"/>
          <w:sz w:val="24"/>
          <w:szCs w:val="24"/>
        </w:rPr>
        <w:t xml:space="preserve">. </w:t>
      </w:r>
      <w:r w:rsidR="00503B5F">
        <w:rPr>
          <w:rFonts w:ascii="Times New Roman" w:hAnsi="Times New Roman"/>
          <w:sz w:val="24"/>
          <w:szCs w:val="24"/>
        </w:rPr>
        <w:t xml:space="preserve"> </w:t>
      </w:r>
      <w:proofErr w:type="spellStart"/>
      <w:r w:rsidR="00B9300A" w:rsidRPr="0073613E">
        <w:rPr>
          <w:rFonts w:ascii="Times New Roman" w:hAnsi="Times New Roman"/>
          <w:sz w:val="24"/>
          <w:szCs w:val="24"/>
          <w:lang w:val="en-US"/>
        </w:rPr>
        <w:t>Acesso</w:t>
      </w:r>
      <w:proofErr w:type="spellEnd"/>
      <w:r w:rsidR="00503B5F">
        <w:rPr>
          <w:rFonts w:ascii="Times New Roman" w:hAnsi="Times New Roman"/>
          <w:sz w:val="24"/>
          <w:szCs w:val="24"/>
          <w:lang w:val="en-US"/>
        </w:rPr>
        <w:t xml:space="preserve"> </w:t>
      </w:r>
      <w:proofErr w:type="spellStart"/>
      <w:r w:rsidR="00B9300A" w:rsidRPr="0073613E">
        <w:rPr>
          <w:rFonts w:ascii="Times New Roman" w:hAnsi="Times New Roman"/>
          <w:sz w:val="24"/>
          <w:szCs w:val="24"/>
          <w:lang w:val="en-US"/>
        </w:rPr>
        <w:t>em</w:t>
      </w:r>
      <w:proofErr w:type="spellEnd"/>
      <w:r w:rsidR="00B9300A" w:rsidRPr="0073613E">
        <w:rPr>
          <w:rFonts w:ascii="Times New Roman" w:hAnsi="Times New Roman"/>
          <w:sz w:val="24"/>
          <w:szCs w:val="24"/>
          <w:lang w:val="en-US"/>
        </w:rPr>
        <w:t>: 25 out. 2020.</w:t>
      </w:r>
    </w:p>
    <w:p w14:paraId="393514F7" w14:textId="77777777" w:rsidR="00546DA8" w:rsidRPr="0073613E" w:rsidRDefault="00546DA8" w:rsidP="00EE0C78">
      <w:pPr>
        <w:tabs>
          <w:tab w:val="left" w:pos="5130"/>
        </w:tabs>
        <w:spacing w:after="0" w:line="240" w:lineRule="auto"/>
        <w:jc w:val="both"/>
        <w:rPr>
          <w:rFonts w:ascii="Times New Roman" w:hAnsi="Times New Roman"/>
          <w:sz w:val="24"/>
          <w:szCs w:val="24"/>
          <w:lang w:val="en-US"/>
        </w:rPr>
      </w:pPr>
    </w:p>
    <w:p w14:paraId="447217D4" w14:textId="77777777" w:rsidR="00CF40B9" w:rsidRPr="00747291" w:rsidRDefault="00546DA8" w:rsidP="00546DA8">
      <w:pPr>
        <w:tabs>
          <w:tab w:val="left" w:pos="5130"/>
        </w:tabs>
        <w:spacing w:after="0" w:line="240" w:lineRule="auto"/>
        <w:jc w:val="both"/>
        <w:rPr>
          <w:rFonts w:ascii="Times New Roman" w:hAnsi="Times New Roman"/>
          <w:sz w:val="24"/>
          <w:szCs w:val="24"/>
          <w:lang w:val="en-US"/>
        </w:rPr>
      </w:pPr>
      <w:r w:rsidRPr="001D29DC">
        <w:rPr>
          <w:rFonts w:ascii="Times New Roman" w:hAnsi="Times New Roman"/>
          <w:sz w:val="24"/>
          <w:szCs w:val="24"/>
          <w:lang w:val="en-US"/>
        </w:rPr>
        <w:t>TURGEON, M.</w:t>
      </w:r>
      <w:r w:rsidR="00A05F8C">
        <w:rPr>
          <w:rFonts w:ascii="Times New Roman" w:hAnsi="Times New Roman"/>
          <w:sz w:val="24"/>
          <w:szCs w:val="24"/>
          <w:lang w:val="en-US"/>
        </w:rPr>
        <w:t xml:space="preserve"> </w:t>
      </w:r>
      <w:r w:rsidRPr="001D29DC">
        <w:rPr>
          <w:rFonts w:ascii="Times New Roman" w:hAnsi="Times New Roman"/>
          <w:sz w:val="24"/>
          <w:szCs w:val="24"/>
          <w:lang w:val="en-US"/>
        </w:rPr>
        <w:t xml:space="preserve">L. </w:t>
      </w:r>
      <w:r w:rsidRPr="001D29DC">
        <w:rPr>
          <w:rFonts w:ascii="Times New Roman" w:hAnsi="Times New Roman"/>
          <w:b/>
          <w:sz w:val="24"/>
          <w:szCs w:val="24"/>
          <w:lang w:val="en-US"/>
        </w:rPr>
        <w:t>Immunology and Serology in Laboratory Medicine</w:t>
      </w:r>
      <w:r w:rsidRPr="001D29DC">
        <w:rPr>
          <w:rFonts w:ascii="Times New Roman" w:hAnsi="Times New Roman"/>
          <w:sz w:val="24"/>
          <w:szCs w:val="24"/>
          <w:lang w:val="en-US"/>
        </w:rPr>
        <w:t xml:space="preserve">, 2ª </w:t>
      </w:r>
      <w:proofErr w:type="spellStart"/>
      <w:r w:rsidRPr="001D29DC">
        <w:rPr>
          <w:rFonts w:ascii="Times New Roman" w:hAnsi="Times New Roman"/>
          <w:sz w:val="24"/>
          <w:szCs w:val="24"/>
          <w:lang w:val="en-US"/>
        </w:rPr>
        <w:t>Edição</w:t>
      </w:r>
      <w:proofErr w:type="spellEnd"/>
      <w:r w:rsidRPr="001D29DC">
        <w:rPr>
          <w:rFonts w:ascii="Times New Roman" w:hAnsi="Times New Roman"/>
          <w:sz w:val="24"/>
          <w:szCs w:val="24"/>
          <w:lang w:val="en-US"/>
        </w:rPr>
        <w:t xml:space="preserve"> - IMPRESSO, Mosby, 1996.</w:t>
      </w:r>
      <w:r w:rsidRPr="001D29DC">
        <w:rPr>
          <w:rFonts w:ascii="Times New Roman" w:hAnsi="Times New Roman"/>
          <w:sz w:val="24"/>
          <w:szCs w:val="24"/>
          <w:lang w:val="en-US"/>
        </w:rPr>
        <w:cr/>
      </w:r>
    </w:p>
    <w:p w14:paraId="68090085" w14:textId="77777777" w:rsidR="00AE6C39" w:rsidRPr="001D29DC" w:rsidRDefault="00A05F8C" w:rsidP="00AE6C39">
      <w:pPr>
        <w:tabs>
          <w:tab w:val="left" w:pos="567"/>
          <w:tab w:val="left" w:pos="5130"/>
        </w:tabs>
        <w:spacing w:after="0" w:line="240" w:lineRule="auto"/>
        <w:jc w:val="both"/>
        <w:rPr>
          <w:rFonts w:ascii="Times New Roman" w:eastAsia="Times New Roman" w:hAnsi="Times New Roman"/>
          <w:sz w:val="24"/>
          <w:szCs w:val="24"/>
          <w:lang w:val="en-US"/>
        </w:rPr>
      </w:pPr>
      <w:r w:rsidRPr="001D29DC">
        <w:rPr>
          <w:rFonts w:ascii="Times New Roman" w:eastAsia="Times New Roman" w:hAnsi="Times New Roman"/>
          <w:sz w:val="24"/>
          <w:szCs w:val="24"/>
          <w:lang w:val="en-US"/>
        </w:rPr>
        <w:t>TSAI, J.</w:t>
      </w:r>
      <w:r>
        <w:rPr>
          <w:rFonts w:ascii="Times New Roman" w:eastAsia="Times New Roman" w:hAnsi="Times New Roman"/>
          <w:sz w:val="24"/>
          <w:szCs w:val="24"/>
          <w:lang w:val="en-US"/>
        </w:rPr>
        <w:t xml:space="preserve">; </w:t>
      </w:r>
      <w:r w:rsidRPr="00A05F8C">
        <w:rPr>
          <w:rFonts w:ascii="Times New Roman" w:eastAsia="Times New Roman" w:hAnsi="Times New Roman"/>
          <w:sz w:val="24"/>
          <w:szCs w:val="24"/>
          <w:lang w:val="en-US"/>
        </w:rPr>
        <w:t>COHRS</w:t>
      </w:r>
      <w:r>
        <w:rPr>
          <w:rFonts w:ascii="Times New Roman" w:eastAsia="Times New Roman" w:hAnsi="Times New Roman"/>
          <w:sz w:val="24"/>
          <w:szCs w:val="24"/>
          <w:lang w:val="en-US"/>
        </w:rPr>
        <w:t xml:space="preserve">, R. </w:t>
      </w:r>
      <w:proofErr w:type="gramStart"/>
      <w:r>
        <w:rPr>
          <w:rFonts w:ascii="Times New Roman" w:eastAsia="Times New Roman" w:hAnsi="Times New Roman"/>
          <w:sz w:val="24"/>
          <w:szCs w:val="24"/>
          <w:lang w:val="en-US"/>
        </w:rPr>
        <w:t>J.;</w:t>
      </w:r>
      <w:r w:rsidRPr="00A05F8C">
        <w:rPr>
          <w:rFonts w:ascii="Times New Roman" w:eastAsia="Times New Roman" w:hAnsi="Times New Roman"/>
          <w:sz w:val="24"/>
          <w:szCs w:val="24"/>
          <w:lang w:val="en-US"/>
        </w:rPr>
        <w:t>NAGEL</w:t>
      </w:r>
      <w:proofErr w:type="gramEnd"/>
      <w:r>
        <w:rPr>
          <w:rFonts w:ascii="Times New Roman" w:eastAsia="Times New Roman" w:hAnsi="Times New Roman"/>
          <w:sz w:val="24"/>
          <w:szCs w:val="24"/>
          <w:lang w:val="en-US"/>
        </w:rPr>
        <w:t xml:space="preserve">, M. A.;MAHALINGAM, R.; </w:t>
      </w:r>
      <w:r w:rsidRPr="00A05F8C">
        <w:rPr>
          <w:rFonts w:ascii="Times New Roman" w:eastAsia="Times New Roman" w:hAnsi="Times New Roman"/>
          <w:sz w:val="24"/>
          <w:szCs w:val="24"/>
          <w:lang w:val="en-US"/>
        </w:rPr>
        <w:t>SCHMID</w:t>
      </w:r>
      <w:r>
        <w:rPr>
          <w:rFonts w:ascii="Times New Roman" w:eastAsia="Times New Roman" w:hAnsi="Times New Roman"/>
          <w:sz w:val="24"/>
          <w:szCs w:val="24"/>
          <w:lang w:val="en-US"/>
        </w:rPr>
        <w:t xml:space="preserve">, D. S.; </w:t>
      </w:r>
      <w:r w:rsidRPr="00A05F8C">
        <w:rPr>
          <w:rFonts w:ascii="Times New Roman" w:eastAsia="Times New Roman" w:hAnsi="Times New Roman"/>
          <w:sz w:val="24"/>
          <w:szCs w:val="24"/>
          <w:lang w:val="en-US"/>
        </w:rPr>
        <w:t>CHOE</w:t>
      </w:r>
      <w:r>
        <w:rPr>
          <w:rFonts w:ascii="Times New Roman" w:eastAsia="Times New Roman" w:hAnsi="Times New Roman"/>
          <w:sz w:val="24"/>
          <w:szCs w:val="24"/>
          <w:lang w:val="en-US"/>
        </w:rPr>
        <w:t xml:space="preserve">, A.; </w:t>
      </w:r>
      <w:r w:rsidRPr="00A05F8C">
        <w:rPr>
          <w:rFonts w:ascii="Times New Roman" w:eastAsia="Times New Roman" w:hAnsi="Times New Roman"/>
          <w:sz w:val="24"/>
          <w:szCs w:val="24"/>
          <w:lang w:val="en-US"/>
        </w:rPr>
        <w:t>GILDEN</w:t>
      </w:r>
      <w:r>
        <w:rPr>
          <w:rFonts w:ascii="Times New Roman" w:eastAsia="Times New Roman" w:hAnsi="Times New Roman"/>
          <w:sz w:val="24"/>
          <w:szCs w:val="24"/>
          <w:lang w:val="en-US"/>
        </w:rPr>
        <w:t xml:space="preserve">, D. </w:t>
      </w:r>
      <w:r w:rsidR="00AE6C39" w:rsidRPr="001D29DC">
        <w:rPr>
          <w:rFonts w:ascii="Times New Roman" w:eastAsia="Times New Roman" w:hAnsi="Times New Roman"/>
          <w:sz w:val="24"/>
          <w:szCs w:val="24"/>
          <w:lang w:val="en-US"/>
        </w:rPr>
        <w:t>Reactivation of type 1 herpes simplex virus and varicella zoster virus in an</w:t>
      </w:r>
    </w:p>
    <w:p w14:paraId="3C65ECB9" w14:textId="77777777" w:rsidR="00AE6C39" w:rsidRPr="005029FF" w:rsidRDefault="00AE6C39" w:rsidP="00AE6C39">
      <w:pPr>
        <w:tabs>
          <w:tab w:val="left" w:pos="567"/>
          <w:tab w:val="left" w:pos="5130"/>
        </w:tabs>
        <w:spacing w:after="0" w:line="240" w:lineRule="auto"/>
        <w:jc w:val="both"/>
        <w:rPr>
          <w:rFonts w:ascii="Times New Roman" w:hAnsi="Times New Roman"/>
          <w:sz w:val="24"/>
          <w:szCs w:val="24"/>
        </w:rPr>
      </w:pPr>
      <w:r w:rsidRPr="001D29DC">
        <w:rPr>
          <w:rFonts w:ascii="Times New Roman" w:eastAsia="Times New Roman" w:hAnsi="Times New Roman"/>
          <w:sz w:val="24"/>
          <w:szCs w:val="24"/>
          <w:lang w:val="en-US"/>
        </w:rPr>
        <w:t xml:space="preserve">immunosuppressed patient with acute peripheral facial weakness. </w:t>
      </w:r>
      <w:r w:rsidRPr="001D29DC">
        <w:rPr>
          <w:rFonts w:ascii="Times New Roman" w:eastAsia="Times New Roman" w:hAnsi="Times New Roman"/>
          <w:b/>
          <w:sz w:val="24"/>
          <w:szCs w:val="24"/>
          <w:lang w:val="en-US"/>
        </w:rPr>
        <w:t>Journal of the Neurological Sciences</w:t>
      </w:r>
      <w:r w:rsidRPr="001D29DC">
        <w:rPr>
          <w:rFonts w:ascii="Times New Roman" w:eastAsia="Times New Roman" w:hAnsi="Times New Roman"/>
          <w:sz w:val="24"/>
          <w:szCs w:val="24"/>
          <w:lang w:val="en-US"/>
        </w:rPr>
        <w:t>, v.</w:t>
      </w:r>
      <w:r w:rsidR="005029FF" w:rsidRPr="001D29DC">
        <w:rPr>
          <w:rFonts w:ascii="Times New Roman" w:eastAsia="Times New Roman" w:hAnsi="Times New Roman"/>
          <w:sz w:val="24"/>
          <w:szCs w:val="24"/>
          <w:lang w:val="en-US"/>
        </w:rPr>
        <w:t xml:space="preserve"> 313, n. 1-2, p. </w:t>
      </w:r>
      <w:r w:rsidRPr="001D29DC">
        <w:rPr>
          <w:rFonts w:ascii="Times New Roman" w:eastAsia="Times New Roman" w:hAnsi="Times New Roman"/>
          <w:sz w:val="24"/>
          <w:szCs w:val="24"/>
          <w:lang w:val="en-US"/>
        </w:rPr>
        <w:t>193–195</w:t>
      </w:r>
      <w:r w:rsidR="005029FF" w:rsidRPr="001D29DC">
        <w:rPr>
          <w:rFonts w:ascii="Times New Roman" w:eastAsia="Times New Roman" w:hAnsi="Times New Roman"/>
          <w:sz w:val="24"/>
          <w:szCs w:val="24"/>
          <w:lang w:val="en-US"/>
        </w:rPr>
        <w:t xml:space="preserve">, 2012. </w:t>
      </w:r>
      <w:r w:rsidR="005029FF" w:rsidRPr="001D29DC">
        <w:rPr>
          <w:rFonts w:ascii="Times New Roman" w:eastAsia="Times New Roman" w:hAnsi="Times New Roman"/>
          <w:sz w:val="24"/>
          <w:szCs w:val="24"/>
        </w:rPr>
        <w:t>Disponível em: &lt;https://pubmed.ncbi.nlm.nih.gov/21924743/&gt;. Acesso em: 28 nov. 2020.</w:t>
      </w:r>
    </w:p>
    <w:p w14:paraId="2D373918" w14:textId="77777777" w:rsidR="00D00B50" w:rsidRDefault="00D00B50" w:rsidP="00D00B50">
      <w:pPr>
        <w:pStyle w:val="SemEspaamento"/>
        <w:rPr>
          <w:b/>
        </w:rPr>
      </w:pPr>
    </w:p>
    <w:p w14:paraId="3A9616ED" w14:textId="77777777" w:rsidR="00323592" w:rsidRPr="00CF40B9" w:rsidRDefault="00323592" w:rsidP="00D00B50">
      <w:pPr>
        <w:pStyle w:val="SemEspaamento"/>
      </w:pPr>
      <w:r>
        <w:t>WEBER, W.</w:t>
      </w:r>
      <w:r w:rsidR="00CF40B9">
        <w:t xml:space="preserve"> </w:t>
      </w:r>
      <w:r>
        <w:t xml:space="preserve">R.; </w:t>
      </w:r>
      <w:r w:rsidRPr="00CF40B9">
        <w:t>Paralisia Facial Periférica</w:t>
      </w:r>
      <w:r w:rsidR="00CF40B9" w:rsidRPr="00CF40B9">
        <w:t>,</w:t>
      </w:r>
      <w:r w:rsidR="00CF40B9">
        <w:rPr>
          <w:b/>
        </w:rPr>
        <w:t xml:space="preserve"> Seminário FORL, </w:t>
      </w:r>
      <w:r w:rsidR="00CF40B9" w:rsidRPr="00CF40B9">
        <w:t>v. 1, n. 1, p. 1</w:t>
      </w:r>
      <w:r w:rsidR="00CF40B9">
        <w:t xml:space="preserve">-19, 2005. </w:t>
      </w:r>
      <w:r w:rsidRPr="00CF40B9">
        <w:t>Disponível em:</w:t>
      </w:r>
      <w:r w:rsidR="00CF40B9">
        <w:t xml:space="preserve"> </w:t>
      </w:r>
      <w:r w:rsidR="00503B5F">
        <w:t>&lt;</w:t>
      </w:r>
      <w:r w:rsidR="00B34782" w:rsidRPr="00CF40B9">
        <w:t>https://forl.org.br/Content/pdf/seminarios/seminario_39.pdf</w:t>
      </w:r>
      <w:r w:rsidR="00503B5F">
        <w:t>&gt;</w:t>
      </w:r>
      <w:r w:rsidR="00CF40B9">
        <w:t>. Acesso em 29 nov. 2020.</w:t>
      </w:r>
    </w:p>
    <w:p w14:paraId="2AFA4755" w14:textId="77777777" w:rsidR="00B34782" w:rsidRDefault="00EF33C9" w:rsidP="00EF33C9">
      <w:pPr>
        <w:pStyle w:val="SemEspaamento"/>
        <w:tabs>
          <w:tab w:val="clear" w:pos="709"/>
          <w:tab w:val="left" w:pos="3260"/>
        </w:tabs>
      </w:pPr>
      <w:r>
        <w:tab/>
      </w:r>
    </w:p>
    <w:p w14:paraId="5E8F5B6C" w14:textId="77777777" w:rsidR="00C0719C" w:rsidRPr="005029FF" w:rsidRDefault="00C0719C" w:rsidP="00546DA8">
      <w:pPr>
        <w:tabs>
          <w:tab w:val="left" w:pos="5130"/>
        </w:tabs>
        <w:spacing w:after="0" w:line="240" w:lineRule="auto"/>
        <w:jc w:val="both"/>
        <w:rPr>
          <w:b/>
          <w:color w:val="FF0000"/>
          <w:sz w:val="28"/>
          <w:szCs w:val="28"/>
          <w:lang w:eastAsia="pt-BR"/>
        </w:rPr>
      </w:pPr>
    </w:p>
    <w:sectPr w:rsidR="00C0719C" w:rsidRPr="005029FF" w:rsidSect="00892E16">
      <w:headerReference w:type="default" r:id="rId14"/>
      <w:footerReference w:type="default" r:id="rId15"/>
      <w:pgSz w:w="11906" w:h="16838"/>
      <w:pgMar w:top="1098" w:right="1418" w:bottom="1418" w:left="1418" w:header="0"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2-01T10:38:00Z" w:initials="ADC">
    <w:p w14:paraId="5AB7044A" w14:textId="77777777" w:rsidR="00747291" w:rsidRDefault="00747291">
      <w:pPr>
        <w:pStyle w:val="Textodecomentrio"/>
      </w:pPr>
      <w:r>
        <w:rPr>
          <w:rStyle w:val="Refdecomentrio"/>
        </w:rPr>
        <w:annotationRef/>
      </w:r>
      <w:r>
        <w:t>Fonte: NETTER...</w:t>
      </w:r>
    </w:p>
    <w:p w14:paraId="703D477E" w14:textId="3356A37A" w:rsidR="00747291" w:rsidRDefault="00747291">
      <w:pPr>
        <w:pStyle w:val="Textodecomentrio"/>
      </w:pPr>
      <w:r>
        <w:t>Letra tamanho 10 (só da fonte)</w:t>
      </w:r>
    </w:p>
  </w:comment>
  <w:comment w:id="1" w:author="Amanda Della Coletta" w:date="2020-12-01T10:39:00Z" w:initials="ADC">
    <w:p w14:paraId="297EB9EA" w14:textId="50261F58" w:rsidR="00747291" w:rsidRDefault="00747291">
      <w:pPr>
        <w:pStyle w:val="Textodecomentrio"/>
      </w:pPr>
      <w:r>
        <w:rPr>
          <w:rStyle w:val="Refdecomentrio"/>
        </w:rPr>
        <w:annotationRef/>
      </w:r>
      <w:r>
        <w:t>Fonte: BERALDIN et al., 2008 = colocar a palavra fonte e tamanho 10</w:t>
      </w:r>
    </w:p>
  </w:comment>
  <w:comment w:id="2" w:author="Amanda Della Coletta" w:date="2020-12-01T11:07:00Z" w:initials="ADC">
    <w:p w14:paraId="0BB80572" w14:textId="21C096B6" w:rsidR="00635516" w:rsidRDefault="00635516">
      <w:pPr>
        <w:pStyle w:val="Textodecomentrio"/>
      </w:pPr>
      <w:r>
        <w:rPr>
          <w:rStyle w:val="Refdecomentrio"/>
        </w:rPr>
        <w:annotationRef/>
      </w:r>
      <w:r>
        <w:t>De tal ano até o ano de 2020</w:t>
      </w:r>
    </w:p>
  </w:comment>
  <w:comment w:id="3" w:author="Amanda Della Coletta" w:date="2020-12-01T11:08:00Z" w:initials="ADC">
    <w:p w14:paraId="02FFB7F6" w14:textId="5A539197" w:rsidR="00635516" w:rsidRDefault="00635516">
      <w:pPr>
        <w:pStyle w:val="Textodecomentrio"/>
      </w:pPr>
      <w:r>
        <w:rPr>
          <w:rStyle w:val="Refdecomentrio"/>
        </w:rPr>
        <w:annotationRef/>
      </w:r>
      <w:r>
        <w:t>Você fala 3 artigos e traz 4 na tabela</w:t>
      </w:r>
    </w:p>
  </w:comment>
  <w:comment w:id="4" w:author="Amanda Della Coletta" w:date="2020-12-01T11:09:00Z" w:initials="ADC">
    <w:p w14:paraId="3893FD63" w14:textId="77777777" w:rsidR="00635516" w:rsidRDefault="00635516">
      <w:pPr>
        <w:pStyle w:val="Textodecomentrio"/>
      </w:pPr>
      <w:r>
        <w:rPr>
          <w:rStyle w:val="Refdecomentrio"/>
        </w:rPr>
        <w:annotationRef/>
      </w:r>
      <w:r>
        <w:t>Colocar a fonte da tabela</w:t>
      </w:r>
    </w:p>
    <w:p w14:paraId="0991152A" w14:textId="1BD0F174" w:rsidR="00635516" w:rsidRDefault="00635516">
      <w:pPr>
        <w:pStyle w:val="Textodecomentrio"/>
      </w:pPr>
      <w:r>
        <w:t>Fonte: próprio autor</w:t>
      </w:r>
    </w:p>
  </w:comment>
  <w:comment w:id="6" w:author="Amanda Della Coletta" w:date="2020-12-01T11:11:00Z" w:initials="ADC">
    <w:p w14:paraId="31B67331" w14:textId="760E5E19" w:rsidR="00E95A56" w:rsidRDefault="00E95A56">
      <w:pPr>
        <w:pStyle w:val="Textodecomentrio"/>
      </w:pPr>
      <w:r>
        <w:rPr>
          <w:rStyle w:val="Refdecomentrio"/>
        </w:rPr>
        <w:annotationRef/>
      </w:r>
      <w:r>
        <w:t>Referência</w:t>
      </w:r>
    </w:p>
    <w:p w14:paraId="5707A360" w14:textId="77777777" w:rsidR="00E95A56" w:rsidRDefault="00E95A56">
      <w:pPr>
        <w:pStyle w:val="Textodecomentrio"/>
      </w:pPr>
    </w:p>
    <w:p w14:paraId="7BAE81A4" w14:textId="7D5F0A9A" w:rsidR="00E95A56" w:rsidRDefault="00E95A56">
      <w:pPr>
        <w:pStyle w:val="Textodecomentrio"/>
      </w:pPr>
      <w:r>
        <w:t>Acho que pode colocar uma tabela com a essa escala também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703D477E" w15:done="0"/>
  <w15:commentEx w15:paraId="297EB9EA" w15:done="0"/>
  <w15:commentEx w15:paraId="0BB80572" w15:done="0"/>
  <w15:commentEx w15:paraId="02FFB7F6" w15:done="0"/>
  <w15:commentEx w15:paraId="0991152A" w15:done="0"/>
  <w15:commentEx w15:paraId="7BAE81A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709BB5" w16cex:dateUtc="2020-12-01T13:38:00Z"/>
  <w16cex:commentExtensible w16cex:durableId="23709BEC" w16cex:dateUtc="2020-12-01T13:39:00Z"/>
  <w16cex:commentExtensible w16cex:durableId="2370A271" w16cex:dateUtc="2020-12-01T14:07:00Z"/>
  <w16cex:commentExtensible w16cex:durableId="2370A2BA" w16cex:dateUtc="2020-12-01T14:08:00Z"/>
  <w16cex:commentExtensible w16cex:durableId="2370A2DA" w16cex:dateUtc="2020-12-01T14:09:00Z"/>
  <w16cex:commentExtensible w16cex:durableId="2370A353" w16cex:dateUtc="2020-12-01T14: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03D477E" w16cid:durableId="23709BB5"/>
  <w16cid:commentId w16cid:paraId="297EB9EA" w16cid:durableId="23709BEC"/>
  <w16cid:commentId w16cid:paraId="0BB80572" w16cid:durableId="2370A271"/>
  <w16cid:commentId w16cid:paraId="02FFB7F6" w16cid:durableId="2370A2BA"/>
  <w16cid:commentId w16cid:paraId="0991152A" w16cid:durableId="2370A2DA"/>
  <w16cid:commentId w16cid:paraId="7BAE81A4" w16cid:durableId="2370A35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3B01F8" w14:textId="77777777" w:rsidR="00D3198D" w:rsidRDefault="00D3198D" w:rsidP="006E2BED">
      <w:pPr>
        <w:spacing w:after="0" w:line="240" w:lineRule="auto"/>
      </w:pPr>
      <w:r>
        <w:separator/>
      </w:r>
    </w:p>
  </w:endnote>
  <w:endnote w:type="continuationSeparator" w:id="0">
    <w:p w14:paraId="175D53D4" w14:textId="77777777" w:rsidR="00D3198D" w:rsidRDefault="00D3198D" w:rsidP="006E2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TRotisSansSerif">
    <w:altName w:val="Calibri"/>
    <w:charset w:val="00"/>
    <w:family w:val="roman"/>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71058D" w14:textId="77777777" w:rsidR="00A5081A" w:rsidRPr="000D5E53" w:rsidRDefault="00A5081A" w:rsidP="00634EC3">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E66C54" w14:textId="77777777" w:rsidR="00D3198D" w:rsidRDefault="00D3198D" w:rsidP="006E2BED">
      <w:pPr>
        <w:spacing w:after="0" w:line="240" w:lineRule="auto"/>
      </w:pPr>
      <w:r>
        <w:separator/>
      </w:r>
    </w:p>
  </w:footnote>
  <w:footnote w:type="continuationSeparator" w:id="0">
    <w:p w14:paraId="4DFA130B" w14:textId="77777777" w:rsidR="00D3198D" w:rsidRDefault="00D3198D" w:rsidP="006E2B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A13525" w14:textId="77777777" w:rsidR="00A5081A" w:rsidRDefault="00A5081A" w:rsidP="00A5081A">
    <w:pPr>
      <w:pStyle w:val="Cabealho"/>
    </w:pPr>
  </w:p>
  <w:p w14:paraId="2580AA2E" w14:textId="77777777" w:rsidR="00A5081A" w:rsidRDefault="00811248" w:rsidP="00A5081A">
    <w:pPr>
      <w:pStyle w:val="Cabealho"/>
    </w:pPr>
    <w:r>
      <w:rPr>
        <w:noProof/>
        <w:lang w:eastAsia="pt-BR"/>
      </w:rPr>
      <w:drawing>
        <wp:inline distT="0" distB="0" distL="0" distR="0" wp14:anchorId="201CCD50" wp14:editId="0BFD2951">
          <wp:extent cx="1390650" cy="1028700"/>
          <wp:effectExtent l="19050" t="0" r="0" b="0"/>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pic:cNvPicPr>
                    <a:picLocks noChangeAspect="1" noChangeArrowheads="1"/>
                  </pic:cNvPicPr>
                </pic:nvPicPr>
                <pic:blipFill>
                  <a:blip r:embed="rId1"/>
                  <a:srcRect/>
                  <a:stretch>
                    <a:fillRect/>
                  </a:stretch>
                </pic:blipFill>
                <pic:spPr bwMode="auto">
                  <a:xfrm>
                    <a:off x="0" y="0"/>
                    <a:ext cx="1390650" cy="1028700"/>
                  </a:xfrm>
                  <a:prstGeom prst="rect">
                    <a:avLst/>
                  </a:prstGeom>
                  <a:noFill/>
                  <a:ln w="9525">
                    <a:noFill/>
                    <a:miter lim="800000"/>
                    <a:headEnd/>
                    <a:tailEnd/>
                  </a:ln>
                </pic:spPr>
              </pic:pic>
            </a:graphicData>
          </a:graphic>
        </wp:inline>
      </w:drawing>
    </w:r>
    <w:r w:rsidR="00A5081A">
      <w:tab/>
    </w:r>
    <w:r w:rsidR="00A5081A">
      <w:rPr>
        <w:rFonts w:ascii="ATRotisSansSerif" w:hAnsi="ATRotisSansSerif"/>
        <w:b/>
        <w:sz w:val="16"/>
        <w:szCs w:val="16"/>
      </w:rPr>
      <w:t>http://ensaios.usf.edu.br</w:t>
    </w:r>
  </w:p>
  <w:p w14:paraId="540D631A" w14:textId="77777777" w:rsidR="006E2BED" w:rsidRDefault="006E2BED" w:rsidP="00A5081A">
    <w:pPr>
      <w:pStyle w:val="Cabealho"/>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5804A6"/>
    <w:multiLevelType w:val="hybridMultilevel"/>
    <w:tmpl w:val="C31A32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F531365"/>
    <w:multiLevelType w:val="hybridMultilevel"/>
    <w:tmpl w:val="13308BD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0671AFE"/>
    <w:multiLevelType w:val="hybridMultilevel"/>
    <w:tmpl w:val="0A1C2E8A"/>
    <w:lvl w:ilvl="0" w:tplc="F43084B2">
      <w:start w:val="1"/>
      <w:numFmt w:val="lowerLetter"/>
      <w:lvlText w:val="%1)"/>
      <w:lvlJc w:val="left"/>
      <w:pPr>
        <w:ind w:left="720" w:hanging="360"/>
      </w:pPr>
      <w:rPr>
        <w:rFonts w:cs="Calibri" w:hint="default"/>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476E7D9B"/>
    <w:multiLevelType w:val="hybridMultilevel"/>
    <w:tmpl w:val="2A5C71C8"/>
    <w:lvl w:ilvl="0" w:tplc="7C7ABCD8">
      <w:start w:val="1"/>
      <w:numFmt w:val="decimal"/>
      <w:lvlText w:val="%1"/>
      <w:lvlJc w:val="left"/>
      <w:pPr>
        <w:ind w:left="1260" w:hanging="360"/>
      </w:pPr>
      <w:rPr>
        <w:rFonts w:hint="default"/>
      </w:rPr>
    </w:lvl>
    <w:lvl w:ilvl="1" w:tplc="04160019" w:tentative="1">
      <w:start w:val="1"/>
      <w:numFmt w:val="lowerLetter"/>
      <w:lvlText w:val="%2."/>
      <w:lvlJc w:val="left"/>
      <w:pPr>
        <w:ind w:left="1980" w:hanging="360"/>
      </w:pPr>
    </w:lvl>
    <w:lvl w:ilvl="2" w:tplc="0416001B" w:tentative="1">
      <w:start w:val="1"/>
      <w:numFmt w:val="lowerRoman"/>
      <w:lvlText w:val="%3."/>
      <w:lvlJc w:val="right"/>
      <w:pPr>
        <w:ind w:left="2700" w:hanging="180"/>
      </w:pPr>
    </w:lvl>
    <w:lvl w:ilvl="3" w:tplc="0416000F" w:tentative="1">
      <w:start w:val="1"/>
      <w:numFmt w:val="decimal"/>
      <w:lvlText w:val="%4."/>
      <w:lvlJc w:val="left"/>
      <w:pPr>
        <w:ind w:left="3420" w:hanging="360"/>
      </w:pPr>
    </w:lvl>
    <w:lvl w:ilvl="4" w:tplc="04160019" w:tentative="1">
      <w:start w:val="1"/>
      <w:numFmt w:val="lowerLetter"/>
      <w:lvlText w:val="%5."/>
      <w:lvlJc w:val="left"/>
      <w:pPr>
        <w:ind w:left="4140" w:hanging="360"/>
      </w:pPr>
    </w:lvl>
    <w:lvl w:ilvl="5" w:tplc="0416001B" w:tentative="1">
      <w:start w:val="1"/>
      <w:numFmt w:val="lowerRoman"/>
      <w:lvlText w:val="%6."/>
      <w:lvlJc w:val="right"/>
      <w:pPr>
        <w:ind w:left="4860" w:hanging="180"/>
      </w:pPr>
    </w:lvl>
    <w:lvl w:ilvl="6" w:tplc="0416000F" w:tentative="1">
      <w:start w:val="1"/>
      <w:numFmt w:val="decimal"/>
      <w:lvlText w:val="%7."/>
      <w:lvlJc w:val="left"/>
      <w:pPr>
        <w:ind w:left="5580" w:hanging="360"/>
      </w:pPr>
    </w:lvl>
    <w:lvl w:ilvl="7" w:tplc="04160019" w:tentative="1">
      <w:start w:val="1"/>
      <w:numFmt w:val="lowerLetter"/>
      <w:lvlText w:val="%8."/>
      <w:lvlJc w:val="left"/>
      <w:pPr>
        <w:ind w:left="6300" w:hanging="360"/>
      </w:pPr>
    </w:lvl>
    <w:lvl w:ilvl="8" w:tplc="0416001B" w:tentative="1">
      <w:start w:val="1"/>
      <w:numFmt w:val="lowerRoman"/>
      <w:lvlText w:val="%9."/>
      <w:lvlJc w:val="right"/>
      <w:pPr>
        <w:ind w:left="7020" w:hanging="180"/>
      </w:pPr>
    </w:lvl>
  </w:abstractNum>
  <w:abstractNum w:abstractNumId="4" w15:restartNumberingAfterBreak="0">
    <w:nsid w:val="488A0938"/>
    <w:multiLevelType w:val="hybridMultilevel"/>
    <w:tmpl w:val="B20E4F96"/>
    <w:lvl w:ilvl="0" w:tplc="404CF35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 w:numId="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BED"/>
    <w:rsid w:val="000212D7"/>
    <w:rsid w:val="00040EC7"/>
    <w:rsid w:val="00046B49"/>
    <w:rsid w:val="0006170B"/>
    <w:rsid w:val="000630A1"/>
    <w:rsid w:val="00063C87"/>
    <w:rsid w:val="00065401"/>
    <w:rsid w:val="00071649"/>
    <w:rsid w:val="00074EDE"/>
    <w:rsid w:val="00085D7E"/>
    <w:rsid w:val="00091CEE"/>
    <w:rsid w:val="000A0884"/>
    <w:rsid w:val="000B5E8A"/>
    <w:rsid w:val="000C0D15"/>
    <w:rsid w:val="000C2B72"/>
    <w:rsid w:val="000D3581"/>
    <w:rsid w:val="000D3A76"/>
    <w:rsid w:val="000D5CD0"/>
    <w:rsid w:val="000D5E53"/>
    <w:rsid w:val="000D726F"/>
    <w:rsid w:val="000E69B6"/>
    <w:rsid w:val="000F0354"/>
    <w:rsid w:val="000F088B"/>
    <w:rsid w:val="00112458"/>
    <w:rsid w:val="00114552"/>
    <w:rsid w:val="00144B0A"/>
    <w:rsid w:val="00152867"/>
    <w:rsid w:val="001646EB"/>
    <w:rsid w:val="00171F2A"/>
    <w:rsid w:val="001823C9"/>
    <w:rsid w:val="00182D6B"/>
    <w:rsid w:val="00183B16"/>
    <w:rsid w:val="0019621A"/>
    <w:rsid w:val="001B65DC"/>
    <w:rsid w:val="001D05B7"/>
    <w:rsid w:val="001D29DC"/>
    <w:rsid w:val="001D4BCC"/>
    <w:rsid w:val="001E390B"/>
    <w:rsid w:val="001E5DA9"/>
    <w:rsid w:val="001E6318"/>
    <w:rsid w:val="001F4CF2"/>
    <w:rsid w:val="002234B5"/>
    <w:rsid w:val="002365E8"/>
    <w:rsid w:val="0024608A"/>
    <w:rsid w:val="00252A71"/>
    <w:rsid w:val="00253185"/>
    <w:rsid w:val="0026306F"/>
    <w:rsid w:val="00266199"/>
    <w:rsid w:val="00274821"/>
    <w:rsid w:val="00280D50"/>
    <w:rsid w:val="0029396B"/>
    <w:rsid w:val="002A000A"/>
    <w:rsid w:val="002A20EE"/>
    <w:rsid w:val="002A2EC3"/>
    <w:rsid w:val="002B6548"/>
    <w:rsid w:val="002D52B1"/>
    <w:rsid w:val="002E6128"/>
    <w:rsid w:val="002F03A3"/>
    <w:rsid w:val="003038D7"/>
    <w:rsid w:val="003042BA"/>
    <w:rsid w:val="00310675"/>
    <w:rsid w:val="003220F4"/>
    <w:rsid w:val="00323592"/>
    <w:rsid w:val="003236F4"/>
    <w:rsid w:val="003446C2"/>
    <w:rsid w:val="00361F47"/>
    <w:rsid w:val="00370AEF"/>
    <w:rsid w:val="00376C1A"/>
    <w:rsid w:val="0038534D"/>
    <w:rsid w:val="00386255"/>
    <w:rsid w:val="00395106"/>
    <w:rsid w:val="003B668C"/>
    <w:rsid w:val="003B7EBD"/>
    <w:rsid w:val="003D09E8"/>
    <w:rsid w:val="003F3AAA"/>
    <w:rsid w:val="003F771A"/>
    <w:rsid w:val="004008BA"/>
    <w:rsid w:val="00402CFE"/>
    <w:rsid w:val="00404129"/>
    <w:rsid w:val="004048B2"/>
    <w:rsid w:val="00404A5E"/>
    <w:rsid w:val="004075BB"/>
    <w:rsid w:val="00415E7D"/>
    <w:rsid w:val="004272D3"/>
    <w:rsid w:val="004367F6"/>
    <w:rsid w:val="004429E1"/>
    <w:rsid w:val="004502E9"/>
    <w:rsid w:val="004512B1"/>
    <w:rsid w:val="004547AB"/>
    <w:rsid w:val="00454B90"/>
    <w:rsid w:val="00455D9A"/>
    <w:rsid w:val="0046101C"/>
    <w:rsid w:val="00462092"/>
    <w:rsid w:val="00475DE4"/>
    <w:rsid w:val="0047650F"/>
    <w:rsid w:val="004B2BE1"/>
    <w:rsid w:val="004B3A1B"/>
    <w:rsid w:val="004B7F60"/>
    <w:rsid w:val="004C0632"/>
    <w:rsid w:val="004D16FB"/>
    <w:rsid w:val="004E015E"/>
    <w:rsid w:val="004F29E1"/>
    <w:rsid w:val="004F5015"/>
    <w:rsid w:val="005006D7"/>
    <w:rsid w:val="00502375"/>
    <w:rsid w:val="005029FF"/>
    <w:rsid w:val="00503B5F"/>
    <w:rsid w:val="0051216D"/>
    <w:rsid w:val="00512A6B"/>
    <w:rsid w:val="00513029"/>
    <w:rsid w:val="00521E01"/>
    <w:rsid w:val="005270D4"/>
    <w:rsid w:val="00536B8B"/>
    <w:rsid w:val="0054029F"/>
    <w:rsid w:val="00545B68"/>
    <w:rsid w:val="00546DA8"/>
    <w:rsid w:val="00565551"/>
    <w:rsid w:val="0057321C"/>
    <w:rsid w:val="00573EFF"/>
    <w:rsid w:val="00593309"/>
    <w:rsid w:val="00595C71"/>
    <w:rsid w:val="005A0C0E"/>
    <w:rsid w:val="005A53D4"/>
    <w:rsid w:val="005B1C50"/>
    <w:rsid w:val="005B1D30"/>
    <w:rsid w:val="005B4265"/>
    <w:rsid w:val="005D1AC9"/>
    <w:rsid w:val="005D6C16"/>
    <w:rsid w:val="005E5D60"/>
    <w:rsid w:val="00600FAF"/>
    <w:rsid w:val="0061231C"/>
    <w:rsid w:val="006176F5"/>
    <w:rsid w:val="00617F0F"/>
    <w:rsid w:val="00634EC3"/>
    <w:rsid w:val="00635516"/>
    <w:rsid w:val="00641954"/>
    <w:rsid w:val="00643993"/>
    <w:rsid w:val="00647367"/>
    <w:rsid w:val="00666D0B"/>
    <w:rsid w:val="006673F2"/>
    <w:rsid w:val="006726FC"/>
    <w:rsid w:val="00684772"/>
    <w:rsid w:val="00694D10"/>
    <w:rsid w:val="006A3676"/>
    <w:rsid w:val="006B455E"/>
    <w:rsid w:val="006B7F67"/>
    <w:rsid w:val="006C3D9B"/>
    <w:rsid w:val="006C3EE4"/>
    <w:rsid w:val="006C6692"/>
    <w:rsid w:val="006C6F12"/>
    <w:rsid w:val="006D61FD"/>
    <w:rsid w:val="006E2BED"/>
    <w:rsid w:val="006E5341"/>
    <w:rsid w:val="00705607"/>
    <w:rsid w:val="00720072"/>
    <w:rsid w:val="00724E95"/>
    <w:rsid w:val="00725483"/>
    <w:rsid w:val="00730471"/>
    <w:rsid w:val="00734738"/>
    <w:rsid w:val="0073613E"/>
    <w:rsid w:val="00747291"/>
    <w:rsid w:val="0075366D"/>
    <w:rsid w:val="00763A6C"/>
    <w:rsid w:val="0077315D"/>
    <w:rsid w:val="00781248"/>
    <w:rsid w:val="00782AAD"/>
    <w:rsid w:val="00785E4A"/>
    <w:rsid w:val="00792324"/>
    <w:rsid w:val="007B117A"/>
    <w:rsid w:val="007C4345"/>
    <w:rsid w:val="007E20EC"/>
    <w:rsid w:val="007F2BFA"/>
    <w:rsid w:val="007F7CD8"/>
    <w:rsid w:val="00811248"/>
    <w:rsid w:val="00811427"/>
    <w:rsid w:val="00812439"/>
    <w:rsid w:val="00825AE5"/>
    <w:rsid w:val="00833AE7"/>
    <w:rsid w:val="0084626F"/>
    <w:rsid w:val="008504A7"/>
    <w:rsid w:val="00854FB4"/>
    <w:rsid w:val="00857C7B"/>
    <w:rsid w:val="00864178"/>
    <w:rsid w:val="00864EA1"/>
    <w:rsid w:val="00874EF5"/>
    <w:rsid w:val="00883B81"/>
    <w:rsid w:val="00890258"/>
    <w:rsid w:val="00890306"/>
    <w:rsid w:val="00892E16"/>
    <w:rsid w:val="008A5D22"/>
    <w:rsid w:val="008A5D25"/>
    <w:rsid w:val="008D0309"/>
    <w:rsid w:val="008D46DF"/>
    <w:rsid w:val="008E1F0A"/>
    <w:rsid w:val="008E4719"/>
    <w:rsid w:val="008F233A"/>
    <w:rsid w:val="008F5DA2"/>
    <w:rsid w:val="008F70C3"/>
    <w:rsid w:val="0090424D"/>
    <w:rsid w:val="00904295"/>
    <w:rsid w:val="009047C7"/>
    <w:rsid w:val="00904C36"/>
    <w:rsid w:val="0091555F"/>
    <w:rsid w:val="009211F2"/>
    <w:rsid w:val="00922791"/>
    <w:rsid w:val="00936082"/>
    <w:rsid w:val="009453FB"/>
    <w:rsid w:val="00951423"/>
    <w:rsid w:val="00981C90"/>
    <w:rsid w:val="0099570F"/>
    <w:rsid w:val="009A2DA5"/>
    <w:rsid w:val="009A4378"/>
    <w:rsid w:val="009D7E46"/>
    <w:rsid w:val="009E1AB1"/>
    <w:rsid w:val="009E369E"/>
    <w:rsid w:val="009E4739"/>
    <w:rsid w:val="009F441D"/>
    <w:rsid w:val="009F5ADB"/>
    <w:rsid w:val="00A05F8C"/>
    <w:rsid w:val="00A13BF5"/>
    <w:rsid w:val="00A144E8"/>
    <w:rsid w:val="00A2216E"/>
    <w:rsid w:val="00A25215"/>
    <w:rsid w:val="00A27247"/>
    <w:rsid w:val="00A36A74"/>
    <w:rsid w:val="00A45693"/>
    <w:rsid w:val="00A45E75"/>
    <w:rsid w:val="00A5081A"/>
    <w:rsid w:val="00A57F89"/>
    <w:rsid w:val="00A714C7"/>
    <w:rsid w:val="00A805BB"/>
    <w:rsid w:val="00A833EC"/>
    <w:rsid w:val="00A84CA8"/>
    <w:rsid w:val="00A85E3E"/>
    <w:rsid w:val="00A96106"/>
    <w:rsid w:val="00AA236D"/>
    <w:rsid w:val="00AB3925"/>
    <w:rsid w:val="00AC30DE"/>
    <w:rsid w:val="00AC5F1E"/>
    <w:rsid w:val="00AD30D4"/>
    <w:rsid w:val="00AD519D"/>
    <w:rsid w:val="00AE21D1"/>
    <w:rsid w:val="00AE48D6"/>
    <w:rsid w:val="00AE6C39"/>
    <w:rsid w:val="00AF4FD4"/>
    <w:rsid w:val="00AF59E5"/>
    <w:rsid w:val="00B016BD"/>
    <w:rsid w:val="00B0188C"/>
    <w:rsid w:val="00B01C82"/>
    <w:rsid w:val="00B0448F"/>
    <w:rsid w:val="00B05653"/>
    <w:rsid w:val="00B0627B"/>
    <w:rsid w:val="00B07091"/>
    <w:rsid w:val="00B11E36"/>
    <w:rsid w:val="00B12DB4"/>
    <w:rsid w:val="00B34782"/>
    <w:rsid w:val="00B74FE8"/>
    <w:rsid w:val="00B8175B"/>
    <w:rsid w:val="00B9300A"/>
    <w:rsid w:val="00BA12A8"/>
    <w:rsid w:val="00BA664F"/>
    <w:rsid w:val="00BB4874"/>
    <w:rsid w:val="00BC2EA1"/>
    <w:rsid w:val="00BC47CB"/>
    <w:rsid w:val="00BD3CD7"/>
    <w:rsid w:val="00BD5F52"/>
    <w:rsid w:val="00BE4697"/>
    <w:rsid w:val="00BE686E"/>
    <w:rsid w:val="00C000B5"/>
    <w:rsid w:val="00C0719C"/>
    <w:rsid w:val="00C07716"/>
    <w:rsid w:val="00C102F7"/>
    <w:rsid w:val="00C13C26"/>
    <w:rsid w:val="00C2253B"/>
    <w:rsid w:val="00C35CAA"/>
    <w:rsid w:val="00C36363"/>
    <w:rsid w:val="00C4350B"/>
    <w:rsid w:val="00C51279"/>
    <w:rsid w:val="00C608A6"/>
    <w:rsid w:val="00C63D60"/>
    <w:rsid w:val="00C7576B"/>
    <w:rsid w:val="00C81402"/>
    <w:rsid w:val="00C82ACB"/>
    <w:rsid w:val="00C85632"/>
    <w:rsid w:val="00C85B3E"/>
    <w:rsid w:val="00CA5951"/>
    <w:rsid w:val="00CC438B"/>
    <w:rsid w:val="00CC4A2D"/>
    <w:rsid w:val="00CC5966"/>
    <w:rsid w:val="00CD22B0"/>
    <w:rsid w:val="00CD2B7F"/>
    <w:rsid w:val="00CE046C"/>
    <w:rsid w:val="00CE0AE4"/>
    <w:rsid w:val="00CE7996"/>
    <w:rsid w:val="00CF40B9"/>
    <w:rsid w:val="00CF45AF"/>
    <w:rsid w:val="00D00B50"/>
    <w:rsid w:val="00D22C85"/>
    <w:rsid w:val="00D24D42"/>
    <w:rsid w:val="00D3198D"/>
    <w:rsid w:val="00D33272"/>
    <w:rsid w:val="00D36E9D"/>
    <w:rsid w:val="00D370B3"/>
    <w:rsid w:val="00D41B24"/>
    <w:rsid w:val="00D425E7"/>
    <w:rsid w:val="00D46FD7"/>
    <w:rsid w:val="00D47C57"/>
    <w:rsid w:val="00D62726"/>
    <w:rsid w:val="00D64791"/>
    <w:rsid w:val="00D93F16"/>
    <w:rsid w:val="00DA2872"/>
    <w:rsid w:val="00DA290D"/>
    <w:rsid w:val="00DC4F30"/>
    <w:rsid w:val="00DD1E67"/>
    <w:rsid w:val="00DD5396"/>
    <w:rsid w:val="00DE3CCD"/>
    <w:rsid w:val="00DF6D17"/>
    <w:rsid w:val="00E04FF1"/>
    <w:rsid w:val="00E0777B"/>
    <w:rsid w:val="00E14C0C"/>
    <w:rsid w:val="00E17092"/>
    <w:rsid w:val="00E21D1E"/>
    <w:rsid w:val="00E26E1B"/>
    <w:rsid w:val="00E27818"/>
    <w:rsid w:val="00E36A52"/>
    <w:rsid w:val="00E45798"/>
    <w:rsid w:val="00E46D59"/>
    <w:rsid w:val="00E47BE7"/>
    <w:rsid w:val="00E55477"/>
    <w:rsid w:val="00E64CD3"/>
    <w:rsid w:val="00E748BD"/>
    <w:rsid w:val="00E7521D"/>
    <w:rsid w:val="00E80445"/>
    <w:rsid w:val="00E863E6"/>
    <w:rsid w:val="00E873BE"/>
    <w:rsid w:val="00E93D83"/>
    <w:rsid w:val="00E95A56"/>
    <w:rsid w:val="00E9688B"/>
    <w:rsid w:val="00E96E44"/>
    <w:rsid w:val="00EA1AB0"/>
    <w:rsid w:val="00EC034F"/>
    <w:rsid w:val="00EC3436"/>
    <w:rsid w:val="00EE0C78"/>
    <w:rsid w:val="00EE560A"/>
    <w:rsid w:val="00EF33C9"/>
    <w:rsid w:val="00EF736F"/>
    <w:rsid w:val="00F12026"/>
    <w:rsid w:val="00F14F61"/>
    <w:rsid w:val="00F15C1D"/>
    <w:rsid w:val="00F323FE"/>
    <w:rsid w:val="00F4323E"/>
    <w:rsid w:val="00F46337"/>
    <w:rsid w:val="00F46B6B"/>
    <w:rsid w:val="00F53D4A"/>
    <w:rsid w:val="00FB4F70"/>
    <w:rsid w:val="00FB7449"/>
    <w:rsid w:val="00FC488F"/>
    <w:rsid w:val="00FC6FD6"/>
    <w:rsid w:val="00FC7EB2"/>
    <w:rsid w:val="00FD25DA"/>
    <w:rsid w:val="00FD662E"/>
    <w:rsid w:val="00FE5411"/>
    <w:rsid w:val="00FE6D0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67CE8F"/>
  <w15:docId w15:val="{DCDB0981-BDB9-4BF8-AB2A-16F76E96C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36F"/>
    <w:pPr>
      <w:spacing w:after="200" w:line="276" w:lineRule="auto"/>
    </w:pPr>
    <w:rPr>
      <w:sz w:val="22"/>
      <w:szCs w:val="22"/>
      <w:lang w:eastAsia="en-US"/>
    </w:rPr>
  </w:style>
  <w:style w:type="paragraph" w:styleId="Ttulo1">
    <w:name w:val="heading 1"/>
    <w:basedOn w:val="Normal"/>
    <w:next w:val="Normal"/>
    <w:link w:val="Ttulo1Char"/>
    <w:qFormat/>
    <w:rsid w:val="005D1AC9"/>
    <w:pPr>
      <w:keepNext/>
      <w:tabs>
        <w:tab w:val="left" w:pos="6840"/>
      </w:tabs>
      <w:spacing w:after="0" w:line="360" w:lineRule="auto"/>
      <w:jc w:val="both"/>
      <w:outlineLvl w:val="0"/>
    </w:pPr>
    <w:rPr>
      <w:rFonts w:ascii="Times New Roman" w:eastAsia="Times New Roman" w:hAnsi="Times New Roman"/>
      <w:b/>
      <w:bCs/>
      <w:sz w:val="24"/>
      <w:szCs w:val="24"/>
    </w:rPr>
  </w:style>
  <w:style w:type="paragraph" w:styleId="Ttulo2">
    <w:name w:val="heading 2"/>
    <w:basedOn w:val="Normal"/>
    <w:next w:val="Normal"/>
    <w:link w:val="Ttulo2Char"/>
    <w:qFormat/>
    <w:rsid w:val="005D1AC9"/>
    <w:pPr>
      <w:keepNext/>
      <w:spacing w:after="0" w:line="360" w:lineRule="auto"/>
      <w:jc w:val="both"/>
      <w:outlineLvl w:val="1"/>
    </w:pPr>
    <w:rPr>
      <w:rFonts w:ascii="Times New Roman" w:eastAsia="Times New Roman" w:hAnsi="Times New Roman"/>
      <w:sz w:val="24"/>
      <w:szCs w:val="24"/>
      <w:u w:val="single"/>
    </w:rPr>
  </w:style>
  <w:style w:type="paragraph" w:styleId="Ttulo3">
    <w:name w:val="heading 3"/>
    <w:basedOn w:val="Normal"/>
    <w:next w:val="Normal"/>
    <w:link w:val="Ttulo3Char"/>
    <w:qFormat/>
    <w:rsid w:val="005D1AC9"/>
    <w:pPr>
      <w:keepNext/>
      <w:spacing w:after="0" w:line="360" w:lineRule="auto"/>
      <w:outlineLvl w:val="2"/>
    </w:pPr>
    <w:rPr>
      <w:rFonts w:ascii="Times New Roman" w:eastAsia="Times New Roman" w:hAnsi="Times New Roman"/>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2B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2BED"/>
  </w:style>
  <w:style w:type="paragraph" w:styleId="Rodap">
    <w:name w:val="footer"/>
    <w:basedOn w:val="Normal"/>
    <w:link w:val="RodapChar"/>
    <w:uiPriority w:val="99"/>
    <w:unhideWhenUsed/>
    <w:rsid w:val="006E2BED"/>
    <w:pPr>
      <w:tabs>
        <w:tab w:val="center" w:pos="4252"/>
        <w:tab w:val="right" w:pos="8504"/>
      </w:tabs>
      <w:spacing w:after="0" w:line="240" w:lineRule="auto"/>
    </w:pPr>
  </w:style>
  <w:style w:type="character" w:customStyle="1" w:styleId="RodapChar">
    <w:name w:val="Rodapé Char"/>
    <w:basedOn w:val="Fontepargpadro"/>
    <w:link w:val="Rodap"/>
    <w:uiPriority w:val="99"/>
    <w:rsid w:val="006E2BED"/>
  </w:style>
  <w:style w:type="paragraph" w:styleId="Textodebalo">
    <w:name w:val="Balloon Text"/>
    <w:basedOn w:val="Normal"/>
    <w:link w:val="TextodebaloChar"/>
    <w:uiPriority w:val="99"/>
    <w:semiHidden/>
    <w:unhideWhenUsed/>
    <w:rsid w:val="006E2BED"/>
    <w:pPr>
      <w:spacing w:after="0" w:line="240" w:lineRule="auto"/>
    </w:pPr>
    <w:rPr>
      <w:rFonts w:ascii="Tahoma" w:hAnsi="Tahoma"/>
      <w:sz w:val="16"/>
      <w:szCs w:val="16"/>
    </w:rPr>
  </w:style>
  <w:style w:type="character" w:customStyle="1" w:styleId="TextodebaloChar">
    <w:name w:val="Texto de balão Char"/>
    <w:link w:val="Textodebalo"/>
    <w:uiPriority w:val="99"/>
    <w:semiHidden/>
    <w:rsid w:val="006E2BED"/>
    <w:rPr>
      <w:rFonts w:ascii="Tahoma" w:hAnsi="Tahoma" w:cs="Tahoma"/>
      <w:sz w:val="16"/>
      <w:szCs w:val="16"/>
    </w:rPr>
  </w:style>
  <w:style w:type="paragraph" w:styleId="NormalWeb">
    <w:name w:val="Normal (Web)"/>
    <w:basedOn w:val="Normal"/>
    <w:uiPriority w:val="99"/>
    <w:unhideWhenUsed/>
    <w:rsid w:val="006E2BED"/>
    <w:pPr>
      <w:spacing w:before="100" w:beforeAutospacing="1" w:after="100" w:afterAutospacing="1" w:line="240" w:lineRule="auto"/>
    </w:pPr>
    <w:rPr>
      <w:rFonts w:ascii="Times New Roman" w:eastAsia="Times New Roman" w:hAnsi="Times New Roman"/>
      <w:sz w:val="24"/>
      <w:szCs w:val="24"/>
      <w:lang w:eastAsia="pt-BR"/>
    </w:rPr>
  </w:style>
  <w:style w:type="paragraph" w:styleId="Corpodetexto">
    <w:name w:val="Body Text"/>
    <w:basedOn w:val="Normal"/>
    <w:link w:val="CorpodetextoChar"/>
    <w:semiHidden/>
    <w:rsid w:val="00EF736F"/>
    <w:pPr>
      <w:spacing w:after="0" w:line="240" w:lineRule="auto"/>
    </w:pPr>
    <w:rPr>
      <w:rFonts w:ascii="Arial" w:eastAsia="Times New Roman" w:hAnsi="Arial"/>
      <w:b/>
      <w:sz w:val="28"/>
      <w:szCs w:val="20"/>
      <w:lang w:eastAsia="pt-BR"/>
    </w:rPr>
  </w:style>
  <w:style w:type="character" w:customStyle="1" w:styleId="CorpodetextoChar">
    <w:name w:val="Corpo de texto Char"/>
    <w:link w:val="Corpodetexto"/>
    <w:semiHidden/>
    <w:rsid w:val="00EF736F"/>
    <w:rPr>
      <w:rFonts w:ascii="Arial" w:eastAsia="Times New Roman" w:hAnsi="Arial" w:cs="Times New Roman"/>
      <w:b/>
      <w:sz w:val="28"/>
      <w:szCs w:val="20"/>
      <w:lang w:eastAsia="pt-BR"/>
    </w:rPr>
  </w:style>
  <w:style w:type="character" w:customStyle="1" w:styleId="apple-converted-space">
    <w:name w:val="apple-converted-space"/>
    <w:rsid w:val="00CC438B"/>
  </w:style>
  <w:style w:type="character" w:styleId="Forte">
    <w:name w:val="Strong"/>
    <w:uiPriority w:val="22"/>
    <w:qFormat/>
    <w:rsid w:val="00CC438B"/>
    <w:rPr>
      <w:b/>
      <w:bCs/>
    </w:rPr>
  </w:style>
  <w:style w:type="paragraph" w:styleId="Corpodetexto2">
    <w:name w:val="Body Text 2"/>
    <w:basedOn w:val="Normal"/>
    <w:link w:val="Corpodetexto2Char"/>
    <w:uiPriority w:val="99"/>
    <w:unhideWhenUsed/>
    <w:rsid w:val="005D1AC9"/>
    <w:pPr>
      <w:spacing w:after="120" w:line="480" w:lineRule="auto"/>
    </w:pPr>
  </w:style>
  <w:style w:type="character" w:customStyle="1" w:styleId="Corpodetexto2Char">
    <w:name w:val="Corpo de texto 2 Char"/>
    <w:link w:val="Corpodetexto2"/>
    <w:uiPriority w:val="99"/>
    <w:rsid w:val="005D1AC9"/>
    <w:rPr>
      <w:sz w:val="22"/>
      <w:szCs w:val="22"/>
      <w:lang w:eastAsia="en-US"/>
    </w:rPr>
  </w:style>
  <w:style w:type="character" w:customStyle="1" w:styleId="Ttulo1Char">
    <w:name w:val="Título 1 Char"/>
    <w:link w:val="Ttulo1"/>
    <w:rsid w:val="005D1AC9"/>
    <w:rPr>
      <w:rFonts w:ascii="Times New Roman" w:eastAsia="Times New Roman" w:hAnsi="Times New Roman"/>
      <w:b/>
      <w:bCs/>
      <w:sz w:val="24"/>
      <w:szCs w:val="24"/>
    </w:rPr>
  </w:style>
  <w:style w:type="character" w:customStyle="1" w:styleId="Ttulo2Char">
    <w:name w:val="Título 2 Char"/>
    <w:link w:val="Ttulo2"/>
    <w:rsid w:val="005D1AC9"/>
    <w:rPr>
      <w:rFonts w:ascii="Times New Roman" w:eastAsia="Times New Roman" w:hAnsi="Times New Roman"/>
      <w:sz w:val="24"/>
      <w:szCs w:val="24"/>
      <w:u w:val="single"/>
    </w:rPr>
  </w:style>
  <w:style w:type="character" w:customStyle="1" w:styleId="Ttulo3Char">
    <w:name w:val="Título 3 Char"/>
    <w:link w:val="Ttulo3"/>
    <w:rsid w:val="005D1AC9"/>
    <w:rPr>
      <w:rFonts w:ascii="Times New Roman" w:eastAsia="Times New Roman" w:hAnsi="Times New Roman"/>
      <w:b/>
      <w:bCs/>
      <w:sz w:val="24"/>
      <w:szCs w:val="24"/>
    </w:rPr>
  </w:style>
  <w:style w:type="paragraph" w:customStyle="1" w:styleId="DecimalAligned">
    <w:name w:val="Decimal Aligned"/>
    <w:basedOn w:val="Normal"/>
    <w:uiPriority w:val="40"/>
    <w:qFormat/>
    <w:rsid w:val="005D1AC9"/>
    <w:pPr>
      <w:tabs>
        <w:tab w:val="decimal" w:pos="360"/>
      </w:tabs>
    </w:pPr>
    <w:rPr>
      <w:rFonts w:eastAsia="Times New Roman"/>
    </w:rPr>
  </w:style>
  <w:style w:type="paragraph" w:styleId="PargrafodaLista">
    <w:name w:val="List Paragraph"/>
    <w:basedOn w:val="Normal"/>
    <w:uiPriority w:val="34"/>
    <w:qFormat/>
    <w:rsid w:val="005D1AC9"/>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uiPriority w:val="59"/>
    <w:rsid w:val="009A437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link w:val="Pr-formataoHTMLChar"/>
    <w:uiPriority w:val="99"/>
    <w:unhideWhenUsed/>
    <w:rsid w:val="00CD2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link w:val="Pr-formataoHTML"/>
    <w:uiPriority w:val="99"/>
    <w:rsid w:val="00CD2B7F"/>
    <w:rPr>
      <w:rFonts w:ascii="Courier New" w:eastAsia="Times New Roman" w:hAnsi="Courier New" w:cs="Courier New"/>
    </w:rPr>
  </w:style>
  <w:style w:type="character" w:styleId="Hyperlink">
    <w:name w:val="Hyperlink"/>
    <w:uiPriority w:val="99"/>
    <w:unhideWhenUsed/>
    <w:rsid w:val="00812439"/>
    <w:rPr>
      <w:color w:val="0563C1"/>
      <w:u w:val="single"/>
    </w:rPr>
  </w:style>
  <w:style w:type="paragraph" w:styleId="SemEspaamento">
    <w:name w:val="No Spacing"/>
    <w:aliases w:val="TCC HUSF"/>
    <w:uiPriority w:val="1"/>
    <w:qFormat/>
    <w:rsid w:val="00864EA1"/>
    <w:pPr>
      <w:tabs>
        <w:tab w:val="left" w:pos="709"/>
      </w:tabs>
      <w:jc w:val="both"/>
    </w:pPr>
    <w:rPr>
      <w:rFonts w:ascii="Times New Roman" w:eastAsia="Arial" w:hAnsi="Times New Roman" w:cs="Arial"/>
      <w:sz w:val="24"/>
      <w:szCs w:val="22"/>
    </w:rPr>
  </w:style>
  <w:style w:type="character" w:styleId="Refdecomentrio">
    <w:name w:val="annotation reference"/>
    <w:basedOn w:val="Fontepargpadro"/>
    <w:uiPriority w:val="99"/>
    <w:semiHidden/>
    <w:unhideWhenUsed/>
    <w:rsid w:val="0073613E"/>
    <w:rPr>
      <w:sz w:val="16"/>
      <w:szCs w:val="16"/>
    </w:rPr>
  </w:style>
  <w:style w:type="paragraph" w:styleId="Textodecomentrio">
    <w:name w:val="annotation text"/>
    <w:basedOn w:val="Normal"/>
    <w:link w:val="TextodecomentrioChar"/>
    <w:uiPriority w:val="99"/>
    <w:semiHidden/>
    <w:unhideWhenUsed/>
    <w:rsid w:val="0073613E"/>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73613E"/>
    <w:rPr>
      <w:lang w:eastAsia="en-US"/>
    </w:rPr>
  </w:style>
  <w:style w:type="paragraph" w:styleId="Assuntodocomentrio">
    <w:name w:val="annotation subject"/>
    <w:basedOn w:val="Textodecomentrio"/>
    <w:next w:val="Textodecomentrio"/>
    <w:link w:val="AssuntodocomentrioChar"/>
    <w:uiPriority w:val="99"/>
    <w:semiHidden/>
    <w:unhideWhenUsed/>
    <w:rsid w:val="0073613E"/>
    <w:rPr>
      <w:b/>
      <w:bCs/>
    </w:rPr>
  </w:style>
  <w:style w:type="character" w:customStyle="1" w:styleId="AssuntodocomentrioChar">
    <w:name w:val="Assunto do comentário Char"/>
    <w:basedOn w:val="TextodecomentrioChar"/>
    <w:link w:val="Assuntodocomentrio"/>
    <w:uiPriority w:val="99"/>
    <w:semiHidden/>
    <w:rsid w:val="0073613E"/>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47364">
      <w:bodyDiv w:val="1"/>
      <w:marLeft w:val="0"/>
      <w:marRight w:val="0"/>
      <w:marTop w:val="0"/>
      <w:marBottom w:val="0"/>
      <w:divBdr>
        <w:top w:val="none" w:sz="0" w:space="0" w:color="auto"/>
        <w:left w:val="none" w:sz="0" w:space="0" w:color="auto"/>
        <w:bottom w:val="none" w:sz="0" w:space="0" w:color="auto"/>
        <w:right w:val="none" w:sz="0" w:space="0" w:color="auto"/>
      </w:divBdr>
    </w:div>
    <w:div w:id="181288438">
      <w:bodyDiv w:val="1"/>
      <w:marLeft w:val="0"/>
      <w:marRight w:val="0"/>
      <w:marTop w:val="0"/>
      <w:marBottom w:val="0"/>
      <w:divBdr>
        <w:top w:val="none" w:sz="0" w:space="0" w:color="auto"/>
        <w:left w:val="none" w:sz="0" w:space="0" w:color="auto"/>
        <w:bottom w:val="none" w:sz="0" w:space="0" w:color="auto"/>
        <w:right w:val="none" w:sz="0" w:space="0" w:color="auto"/>
      </w:divBdr>
    </w:div>
    <w:div w:id="323556399">
      <w:bodyDiv w:val="1"/>
      <w:marLeft w:val="0"/>
      <w:marRight w:val="0"/>
      <w:marTop w:val="0"/>
      <w:marBottom w:val="0"/>
      <w:divBdr>
        <w:top w:val="none" w:sz="0" w:space="0" w:color="auto"/>
        <w:left w:val="none" w:sz="0" w:space="0" w:color="auto"/>
        <w:bottom w:val="none" w:sz="0" w:space="0" w:color="auto"/>
        <w:right w:val="none" w:sz="0" w:space="0" w:color="auto"/>
      </w:divBdr>
      <w:divsChild>
        <w:div w:id="331027449">
          <w:marLeft w:val="0"/>
          <w:marRight w:val="0"/>
          <w:marTop w:val="0"/>
          <w:marBottom w:val="0"/>
          <w:divBdr>
            <w:top w:val="none" w:sz="0" w:space="0" w:color="auto"/>
            <w:left w:val="none" w:sz="0" w:space="0" w:color="auto"/>
            <w:bottom w:val="none" w:sz="0" w:space="0" w:color="auto"/>
            <w:right w:val="none" w:sz="0" w:space="0" w:color="auto"/>
          </w:divBdr>
        </w:div>
        <w:div w:id="1085106162">
          <w:marLeft w:val="0"/>
          <w:marRight w:val="0"/>
          <w:marTop w:val="0"/>
          <w:marBottom w:val="0"/>
          <w:divBdr>
            <w:top w:val="none" w:sz="0" w:space="0" w:color="auto"/>
            <w:left w:val="none" w:sz="0" w:space="0" w:color="auto"/>
            <w:bottom w:val="none" w:sz="0" w:space="0" w:color="auto"/>
            <w:right w:val="none" w:sz="0" w:space="0" w:color="auto"/>
          </w:divBdr>
        </w:div>
        <w:div w:id="1539927873">
          <w:marLeft w:val="0"/>
          <w:marRight w:val="0"/>
          <w:marTop w:val="0"/>
          <w:marBottom w:val="0"/>
          <w:divBdr>
            <w:top w:val="none" w:sz="0" w:space="0" w:color="auto"/>
            <w:left w:val="none" w:sz="0" w:space="0" w:color="auto"/>
            <w:bottom w:val="none" w:sz="0" w:space="0" w:color="auto"/>
            <w:right w:val="none" w:sz="0" w:space="0" w:color="auto"/>
          </w:divBdr>
        </w:div>
        <w:div w:id="1234043162">
          <w:marLeft w:val="0"/>
          <w:marRight w:val="0"/>
          <w:marTop w:val="0"/>
          <w:marBottom w:val="0"/>
          <w:divBdr>
            <w:top w:val="none" w:sz="0" w:space="0" w:color="auto"/>
            <w:left w:val="none" w:sz="0" w:space="0" w:color="auto"/>
            <w:bottom w:val="none" w:sz="0" w:space="0" w:color="auto"/>
            <w:right w:val="none" w:sz="0" w:space="0" w:color="auto"/>
          </w:divBdr>
        </w:div>
        <w:div w:id="1424834391">
          <w:marLeft w:val="0"/>
          <w:marRight w:val="0"/>
          <w:marTop w:val="0"/>
          <w:marBottom w:val="0"/>
          <w:divBdr>
            <w:top w:val="none" w:sz="0" w:space="0" w:color="auto"/>
            <w:left w:val="none" w:sz="0" w:space="0" w:color="auto"/>
            <w:bottom w:val="none" w:sz="0" w:space="0" w:color="auto"/>
            <w:right w:val="none" w:sz="0" w:space="0" w:color="auto"/>
          </w:divBdr>
        </w:div>
      </w:divsChild>
    </w:div>
    <w:div w:id="504898748">
      <w:bodyDiv w:val="1"/>
      <w:marLeft w:val="0"/>
      <w:marRight w:val="0"/>
      <w:marTop w:val="0"/>
      <w:marBottom w:val="0"/>
      <w:divBdr>
        <w:top w:val="none" w:sz="0" w:space="0" w:color="auto"/>
        <w:left w:val="none" w:sz="0" w:space="0" w:color="auto"/>
        <w:bottom w:val="none" w:sz="0" w:space="0" w:color="auto"/>
        <w:right w:val="none" w:sz="0" w:space="0" w:color="auto"/>
      </w:divBdr>
      <w:divsChild>
        <w:div w:id="1450706548">
          <w:marLeft w:val="0"/>
          <w:marRight w:val="0"/>
          <w:marTop w:val="0"/>
          <w:marBottom w:val="0"/>
          <w:divBdr>
            <w:top w:val="none" w:sz="0" w:space="0" w:color="auto"/>
            <w:left w:val="none" w:sz="0" w:space="0" w:color="auto"/>
            <w:bottom w:val="none" w:sz="0" w:space="0" w:color="auto"/>
            <w:right w:val="none" w:sz="0" w:space="0" w:color="auto"/>
          </w:divBdr>
        </w:div>
      </w:divsChild>
    </w:div>
    <w:div w:id="636959114">
      <w:bodyDiv w:val="1"/>
      <w:marLeft w:val="0"/>
      <w:marRight w:val="0"/>
      <w:marTop w:val="0"/>
      <w:marBottom w:val="0"/>
      <w:divBdr>
        <w:top w:val="none" w:sz="0" w:space="0" w:color="auto"/>
        <w:left w:val="none" w:sz="0" w:space="0" w:color="auto"/>
        <w:bottom w:val="none" w:sz="0" w:space="0" w:color="auto"/>
        <w:right w:val="none" w:sz="0" w:space="0" w:color="auto"/>
      </w:divBdr>
    </w:div>
    <w:div w:id="738601535">
      <w:bodyDiv w:val="1"/>
      <w:marLeft w:val="0"/>
      <w:marRight w:val="0"/>
      <w:marTop w:val="0"/>
      <w:marBottom w:val="0"/>
      <w:divBdr>
        <w:top w:val="none" w:sz="0" w:space="0" w:color="auto"/>
        <w:left w:val="none" w:sz="0" w:space="0" w:color="auto"/>
        <w:bottom w:val="none" w:sz="0" w:space="0" w:color="auto"/>
        <w:right w:val="none" w:sz="0" w:space="0" w:color="auto"/>
      </w:divBdr>
    </w:div>
    <w:div w:id="785537872">
      <w:bodyDiv w:val="1"/>
      <w:marLeft w:val="0"/>
      <w:marRight w:val="0"/>
      <w:marTop w:val="0"/>
      <w:marBottom w:val="0"/>
      <w:divBdr>
        <w:top w:val="none" w:sz="0" w:space="0" w:color="auto"/>
        <w:left w:val="none" w:sz="0" w:space="0" w:color="auto"/>
        <w:bottom w:val="none" w:sz="0" w:space="0" w:color="auto"/>
        <w:right w:val="none" w:sz="0" w:space="0" w:color="auto"/>
      </w:divBdr>
    </w:div>
    <w:div w:id="823811222">
      <w:bodyDiv w:val="1"/>
      <w:marLeft w:val="0"/>
      <w:marRight w:val="0"/>
      <w:marTop w:val="0"/>
      <w:marBottom w:val="0"/>
      <w:divBdr>
        <w:top w:val="none" w:sz="0" w:space="0" w:color="auto"/>
        <w:left w:val="none" w:sz="0" w:space="0" w:color="auto"/>
        <w:bottom w:val="none" w:sz="0" w:space="0" w:color="auto"/>
        <w:right w:val="none" w:sz="0" w:space="0" w:color="auto"/>
      </w:divBdr>
      <w:divsChild>
        <w:div w:id="36787063">
          <w:marLeft w:val="0"/>
          <w:marRight w:val="0"/>
          <w:marTop w:val="0"/>
          <w:marBottom w:val="0"/>
          <w:divBdr>
            <w:top w:val="none" w:sz="0" w:space="0" w:color="auto"/>
            <w:left w:val="none" w:sz="0" w:space="0" w:color="auto"/>
            <w:bottom w:val="none" w:sz="0" w:space="0" w:color="auto"/>
            <w:right w:val="none" w:sz="0" w:space="0" w:color="auto"/>
          </w:divBdr>
        </w:div>
        <w:div w:id="308480304">
          <w:marLeft w:val="0"/>
          <w:marRight w:val="0"/>
          <w:marTop w:val="0"/>
          <w:marBottom w:val="0"/>
          <w:divBdr>
            <w:top w:val="none" w:sz="0" w:space="0" w:color="auto"/>
            <w:left w:val="none" w:sz="0" w:space="0" w:color="auto"/>
            <w:bottom w:val="none" w:sz="0" w:space="0" w:color="auto"/>
            <w:right w:val="none" w:sz="0" w:space="0" w:color="auto"/>
          </w:divBdr>
        </w:div>
        <w:div w:id="2030445414">
          <w:marLeft w:val="0"/>
          <w:marRight w:val="0"/>
          <w:marTop w:val="0"/>
          <w:marBottom w:val="0"/>
          <w:divBdr>
            <w:top w:val="none" w:sz="0" w:space="0" w:color="auto"/>
            <w:left w:val="none" w:sz="0" w:space="0" w:color="auto"/>
            <w:bottom w:val="none" w:sz="0" w:space="0" w:color="auto"/>
            <w:right w:val="none" w:sz="0" w:space="0" w:color="auto"/>
          </w:divBdr>
        </w:div>
        <w:div w:id="447898336">
          <w:marLeft w:val="0"/>
          <w:marRight w:val="0"/>
          <w:marTop w:val="0"/>
          <w:marBottom w:val="0"/>
          <w:divBdr>
            <w:top w:val="none" w:sz="0" w:space="0" w:color="auto"/>
            <w:left w:val="none" w:sz="0" w:space="0" w:color="auto"/>
            <w:bottom w:val="none" w:sz="0" w:space="0" w:color="auto"/>
            <w:right w:val="none" w:sz="0" w:space="0" w:color="auto"/>
          </w:divBdr>
        </w:div>
        <w:div w:id="1175420877">
          <w:marLeft w:val="0"/>
          <w:marRight w:val="0"/>
          <w:marTop w:val="0"/>
          <w:marBottom w:val="0"/>
          <w:divBdr>
            <w:top w:val="none" w:sz="0" w:space="0" w:color="auto"/>
            <w:left w:val="none" w:sz="0" w:space="0" w:color="auto"/>
            <w:bottom w:val="none" w:sz="0" w:space="0" w:color="auto"/>
            <w:right w:val="none" w:sz="0" w:space="0" w:color="auto"/>
          </w:divBdr>
        </w:div>
        <w:div w:id="2064601384">
          <w:marLeft w:val="0"/>
          <w:marRight w:val="0"/>
          <w:marTop w:val="0"/>
          <w:marBottom w:val="0"/>
          <w:divBdr>
            <w:top w:val="none" w:sz="0" w:space="0" w:color="auto"/>
            <w:left w:val="none" w:sz="0" w:space="0" w:color="auto"/>
            <w:bottom w:val="none" w:sz="0" w:space="0" w:color="auto"/>
            <w:right w:val="none" w:sz="0" w:space="0" w:color="auto"/>
          </w:divBdr>
        </w:div>
        <w:div w:id="116031006">
          <w:marLeft w:val="0"/>
          <w:marRight w:val="0"/>
          <w:marTop w:val="0"/>
          <w:marBottom w:val="0"/>
          <w:divBdr>
            <w:top w:val="none" w:sz="0" w:space="0" w:color="auto"/>
            <w:left w:val="none" w:sz="0" w:space="0" w:color="auto"/>
            <w:bottom w:val="none" w:sz="0" w:space="0" w:color="auto"/>
            <w:right w:val="none" w:sz="0" w:space="0" w:color="auto"/>
          </w:divBdr>
        </w:div>
        <w:div w:id="2112241120">
          <w:marLeft w:val="0"/>
          <w:marRight w:val="0"/>
          <w:marTop w:val="0"/>
          <w:marBottom w:val="0"/>
          <w:divBdr>
            <w:top w:val="none" w:sz="0" w:space="0" w:color="auto"/>
            <w:left w:val="none" w:sz="0" w:space="0" w:color="auto"/>
            <w:bottom w:val="none" w:sz="0" w:space="0" w:color="auto"/>
            <w:right w:val="none" w:sz="0" w:space="0" w:color="auto"/>
          </w:divBdr>
        </w:div>
        <w:div w:id="1224372239">
          <w:marLeft w:val="0"/>
          <w:marRight w:val="0"/>
          <w:marTop w:val="0"/>
          <w:marBottom w:val="0"/>
          <w:divBdr>
            <w:top w:val="none" w:sz="0" w:space="0" w:color="auto"/>
            <w:left w:val="none" w:sz="0" w:space="0" w:color="auto"/>
            <w:bottom w:val="none" w:sz="0" w:space="0" w:color="auto"/>
            <w:right w:val="none" w:sz="0" w:space="0" w:color="auto"/>
          </w:divBdr>
        </w:div>
        <w:div w:id="286854705">
          <w:marLeft w:val="0"/>
          <w:marRight w:val="0"/>
          <w:marTop w:val="0"/>
          <w:marBottom w:val="0"/>
          <w:divBdr>
            <w:top w:val="none" w:sz="0" w:space="0" w:color="auto"/>
            <w:left w:val="none" w:sz="0" w:space="0" w:color="auto"/>
            <w:bottom w:val="none" w:sz="0" w:space="0" w:color="auto"/>
            <w:right w:val="none" w:sz="0" w:space="0" w:color="auto"/>
          </w:divBdr>
        </w:div>
        <w:div w:id="206072531">
          <w:marLeft w:val="0"/>
          <w:marRight w:val="0"/>
          <w:marTop w:val="0"/>
          <w:marBottom w:val="0"/>
          <w:divBdr>
            <w:top w:val="none" w:sz="0" w:space="0" w:color="auto"/>
            <w:left w:val="none" w:sz="0" w:space="0" w:color="auto"/>
            <w:bottom w:val="none" w:sz="0" w:space="0" w:color="auto"/>
            <w:right w:val="none" w:sz="0" w:space="0" w:color="auto"/>
          </w:divBdr>
        </w:div>
        <w:div w:id="1285773294">
          <w:marLeft w:val="0"/>
          <w:marRight w:val="0"/>
          <w:marTop w:val="0"/>
          <w:marBottom w:val="0"/>
          <w:divBdr>
            <w:top w:val="none" w:sz="0" w:space="0" w:color="auto"/>
            <w:left w:val="none" w:sz="0" w:space="0" w:color="auto"/>
            <w:bottom w:val="none" w:sz="0" w:space="0" w:color="auto"/>
            <w:right w:val="none" w:sz="0" w:space="0" w:color="auto"/>
          </w:divBdr>
        </w:div>
        <w:div w:id="1602227104">
          <w:marLeft w:val="0"/>
          <w:marRight w:val="0"/>
          <w:marTop w:val="0"/>
          <w:marBottom w:val="0"/>
          <w:divBdr>
            <w:top w:val="none" w:sz="0" w:space="0" w:color="auto"/>
            <w:left w:val="none" w:sz="0" w:space="0" w:color="auto"/>
            <w:bottom w:val="none" w:sz="0" w:space="0" w:color="auto"/>
            <w:right w:val="none" w:sz="0" w:space="0" w:color="auto"/>
          </w:divBdr>
        </w:div>
        <w:div w:id="2120952564">
          <w:marLeft w:val="0"/>
          <w:marRight w:val="0"/>
          <w:marTop w:val="0"/>
          <w:marBottom w:val="0"/>
          <w:divBdr>
            <w:top w:val="none" w:sz="0" w:space="0" w:color="auto"/>
            <w:left w:val="none" w:sz="0" w:space="0" w:color="auto"/>
            <w:bottom w:val="none" w:sz="0" w:space="0" w:color="auto"/>
            <w:right w:val="none" w:sz="0" w:space="0" w:color="auto"/>
          </w:divBdr>
        </w:div>
        <w:div w:id="1747604570">
          <w:marLeft w:val="0"/>
          <w:marRight w:val="0"/>
          <w:marTop w:val="0"/>
          <w:marBottom w:val="0"/>
          <w:divBdr>
            <w:top w:val="none" w:sz="0" w:space="0" w:color="auto"/>
            <w:left w:val="none" w:sz="0" w:space="0" w:color="auto"/>
            <w:bottom w:val="none" w:sz="0" w:space="0" w:color="auto"/>
            <w:right w:val="none" w:sz="0" w:space="0" w:color="auto"/>
          </w:divBdr>
        </w:div>
        <w:div w:id="584338268">
          <w:marLeft w:val="0"/>
          <w:marRight w:val="0"/>
          <w:marTop w:val="0"/>
          <w:marBottom w:val="0"/>
          <w:divBdr>
            <w:top w:val="none" w:sz="0" w:space="0" w:color="auto"/>
            <w:left w:val="none" w:sz="0" w:space="0" w:color="auto"/>
            <w:bottom w:val="none" w:sz="0" w:space="0" w:color="auto"/>
            <w:right w:val="none" w:sz="0" w:space="0" w:color="auto"/>
          </w:divBdr>
        </w:div>
      </w:divsChild>
    </w:div>
    <w:div w:id="975569515">
      <w:bodyDiv w:val="1"/>
      <w:marLeft w:val="0"/>
      <w:marRight w:val="0"/>
      <w:marTop w:val="0"/>
      <w:marBottom w:val="0"/>
      <w:divBdr>
        <w:top w:val="none" w:sz="0" w:space="0" w:color="auto"/>
        <w:left w:val="none" w:sz="0" w:space="0" w:color="auto"/>
        <w:bottom w:val="none" w:sz="0" w:space="0" w:color="auto"/>
        <w:right w:val="none" w:sz="0" w:space="0" w:color="auto"/>
      </w:divBdr>
    </w:div>
    <w:div w:id="1376614763">
      <w:bodyDiv w:val="1"/>
      <w:marLeft w:val="0"/>
      <w:marRight w:val="0"/>
      <w:marTop w:val="0"/>
      <w:marBottom w:val="0"/>
      <w:divBdr>
        <w:top w:val="none" w:sz="0" w:space="0" w:color="auto"/>
        <w:left w:val="none" w:sz="0" w:space="0" w:color="auto"/>
        <w:bottom w:val="none" w:sz="0" w:space="0" w:color="auto"/>
        <w:right w:val="none" w:sz="0" w:space="0" w:color="auto"/>
      </w:divBdr>
    </w:div>
    <w:div w:id="1496259896">
      <w:bodyDiv w:val="1"/>
      <w:marLeft w:val="0"/>
      <w:marRight w:val="0"/>
      <w:marTop w:val="0"/>
      <w:marBottom w:val="0"/>
      <w:divBdr>
        <w:top w:val="none" w:sz="0" w:space="0" w:color="auto"/>
        <w:left w:val="none" w:sz="0" w:space="0" w:color="auto"/>
        <w:bottom w:val="none" w:sz="0" w:space="0" w:color="auto"/>
        <w:right w:val="none" w:sz="0" w:space="0" w:color="auto"/>
      </w:divBdr>
    </w:div>
    <w:div w:id="1661543999">
      <w:bodyDiv w:val="1"/>
      <w:marLeft w:val="0"/>
      <w:marRight w:val="0"/>
      <w:marTop w:val="0"/>
      <w:marBottom w:val="0"/>
      <w:divBdr>
        <w:top w:val="none" w:sz="0" w:space="0" w:color="auto"/>
        <w:left w:val="none" w:sz="0" w:space="0" w:color="auto"/>
        <w:bottom w:val="none" w:sz="0" w:space="0" w:color="auto"/>
        <w:right w:val="none" w:sz="0" w:space="0" w:color="auto"/>
      </w:divBdr>
    </w:div>
    <w:div w:id="1815491046">
      <w:bodyDiv w:val="1"/>
      <w:marLeft w:val="0"/>
      <w:marRight w:val="0"/>
      <w:marTop w:val="0"/>
      <w:marBottom w:val="0"/>
      <w:divBdr>
        <w:top w:val="none" w:sz="0" w:space="0" w:color="auto"/>
        <w:left w:val="none" w:sz="0" w:space="0" w:color="auto"/>
        <w:bottom w:val="none" w:sz="0" w:space="0" w:color="auto"/>
        <w:right w:val="none" w:sz="0" w:space="0" w:color="auto"/>
      </w:divBdr>
      <w:divsChild>
        <w:div w:id="1126700285">
          <w:marLeft w:val="0"/>
          <w:marRight w:val="0"/>
          <w:marTop w:val="0"/>
          <w:marBottom w:val="0"/>
          <w:divBdr>
            <w:top w:val="none" w:sz="0" w:space="0" w:color="auto"/>
            <w:left w:val="none" w:sz="0" w:space="0" w:color="auto"/>
            <w:bottom w:val="none" w:sz="0" w:space="0" w:color="auto"/>
            <w:right w:val="none" w:sz="0" w:space="0" w:color="auto"/>
          </w:divBdr>
          <w:divsChild>
            <w:div w:id="1895776506">
              <w:marLeft w:val="0"/>
              <w:marRight w:val="0"/>
              <w:marTop w:val="0"/>
              <w:marBottom w:val="0"/>
              <w:divBdr>
                <w:top w:val="none" w:sz="0" w:space="0" w:color="auto"/>
                <w:left w:val="none" w:sz="0" w:space="0" w:color="auto"/>
                <w:bottom w:val="none" w:sz="0" w:space="0" w:color="auto"/>
                <w:right w:val="none" w:sz="0" w:space="0" w:color="auto"/>
              </w:divBdr>
            </w:div>
          </w:divsChild>
        </w:div>
        <w:div w:id="934047566">
          <w:marLeft w:val="0"/>
          <w:marRight w:val="0"/>
          <w:marTop w:val="0"/>
          <w:marBottom w:val="0"/>
          <w:divBdr>
            <w:top w:val="none" w:sz="0" w:space="0" w:color="auto"/>
            <w:left w:val="none" w:sz="0" w:space="0" w:color="auto"/>
            <w:bottom w:val="none" w:sz="0" w:space="0" w:color="auto"/>
            <w:right w:val="none" w:sz="0" w:space="0" w:color="auto"/>
          </w:divBdr>
        </w:div>
        <w:div w:id="612637097">
          <w:marLeft w:val="0"/>
          <w:marRight w:val="0"/>
          <w:marTop w:val="0"/>
          <w:marBottom w:val="0"/>
          <w:divBdr>
            <w:top w:val="none" w:sz="0" w:space="0" w:color="auto"/>
            <w:left w:val="none" w:sz="0" w:space="0" w:color="auto"/>
            <w:bottom w:val="none" w:sz="0" w:space="0" w:color="auto"/>
            <w:right w:val="none" w:sz="0" w:space="0" w:color="auto"/>
          </w:divBdr>
          <w:divsChild>
            <w:div w:id="846821216">
              <w:marLeft w:val="0"/>
              <w:marRight w:val="0"/>
              <w:marTop w:val="0"/>
              <w:marBottom w:val="0"/>
              <w:divBdr>
                <w:top w:val="none" w:sz="0" w:space="0" w:color="auto"/>
                <w:left w:val="none" w:sz="0" w:space="0" w:color="auto"/>
                <w:bottom w:val="none" w:sz="0" w:space="0" w:color="auto"/>
                <w:right w:val="none" w:sz="0" w:space="0" w:color="auto"/>
              </w:divBdr>
            </w:div>
            <w:div w:id="992879156">
              <w:marLeft w:val="0"/>
              <w:marRight w:val="0"/>
              <w:marTop w:val="0"/>
              <w:marBottom w:val="0"/>
              <w:divBdr>
                <w:top w:val="none" w:sz="0" w:space="0" w:color="auto"/>
                <w:left w:val="none" w:sz="0" w:space="0" w:color="auto"/>
                <w:bottom w:val="none" w:sz="0" w:space="0" w:color="auto"/>
                <w:right w:val="none" w:sz="0" w:space="0" w:color="auto"/>
              </w:divBdr>
            </w:div>
            <w:div w:id="927423290">
              <w:marLeft w:val="0"/>
              <w:marRight w:val="0"/>
              <w:marTop w:val="0"/>
              <w:marBottom w:val="0"/>
              <w:divBdr>
                <w:top w:val="none" w:sz="0" w:space="0" w:color="auto"/>
                <w:left w:val="none" w:sz="0" w:space="0" w:color="auto"/>
                <w:bottom w:val="none" w:sz="0" w:space="0" w:color="auto"/>
                <w:right w:val="none" w:sz="0" w:space="0" w:color="auto"/>
              </w:divBdr>
            </w:div>
            <w:div w:id="1846287592">
              <w:marLeft w:val="0"/>
              <w:marRight w:val="0"/>
              <w:marTop w:val="0"/>
              <w:marBottom w:val="0"/>
              <w:divBdr>
                <w:top w:val="none" w:sz="0" w:space="0" w:color="auto"/>
                <w:left w:val="none" w:sz="0" w:space="0" w:color="auto"/>
                <w:bottom w:val="none" w:sz="0" w:space="0" w:color="auto"/>
                <w:right w:val="none" w:sz="0" w:space="0" w:color="auto"/>
              </w:divBdr>
            </w:div>
            <w:div w:id="1706715146">
              <w:marLeft w:val="0"/>
              <w:marRight w:val="0"/>
              <w:marTop w:val="0"/>
              <w:marBottom w:val="0"/>
              <w:divBdr>
                <w:top w:val="none" w:sz="0" w:space="0" w:color="auto"/>
                <w:left w:val="none" w:sz="0" w:space="0" w:color="auto"/>
                <w:bottom w:val="none" w:sz="0" w:space="0" w:color="auto"/>
                <w:right w:val="none" w:sz="0" w:space="0" w:color="auto"/>
              </w:divBdr>
              <w:divsChild>
                <w:div w:id="308436464">
                  <w:marLeft w:val="0"/>
                  <w:marRight w:val="0"/>
                  <w:marTop w:val="0"/>
                  <w:marBottom w:val="0"/>
                  <w:divBdr>
                    <w:top w:val="none" w:sz="0" w:space="0" w:color="auto"/>
                    <w:left w:val="none" w:sz="0" w:space="0" w:color="auto"/>
                    <w:bottom w:val="none" w:sz="0" w:space="0" w:color="auto"/>
                    <w:right w:val="none" w:sz="0" w:space="0" w:color="auto"/>
                  </w:divBdr>
                </w:div>
              </w:divsChild>
            </w:div>
            <w:div w:id="1557273943">
              <w:marLeft w:val="0"/>
              <w:marRight w:val="0"/>
              <w:marTop w:val="0"/>
              <w:marBottom w:val="0"/>
              <w:divBdr>
                <w:top w:val="none" w:sz="0" w:space="0" w:color="auto"/>
                <w:left w:val="none" w:sz="0" w:space="0" w:color="auto"/>
                <w:bottom w:val="none" w:sz="0" w:space="0" w:color="auto"/>
                <w:right w:val="none" w:sz="0" w:space="0" w:color="auto"/>
              </w:divBdr>
            </w:div>
            <w:div w:id="75447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936325">
      <w:bodyDiv w:val="1"/>
      <w:marLeft w:val="0"/>
      <w:marRight w:val="0"/>
      <w:marTop w:val="0"/>
      <w:marBottom w:val="0"/>
      <w:divBdr>
        <w:top w:val="none" w:sz="0" w:space="0" w:color="auto"/>
        <w:left w:val="none" w:sz="0" w:space="0" w:color="auto"/>
        <w:bottom w:val="none" w:sz="0" w:space="0" w:color="auto"/>
        <w:right w:val="none" w:sz="0" w:space="0" w:color="auto"/>
      </w:divBdr>
      <w:divsChild>
        <w:div w:id="2045788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2124EE-E4CF-4EC2-8CC7-95FFF3C3B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3137</Words>
  <Characters>16946</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20043</CharactersWithSpaces>
  <SharedDoc>false</SharedDoc>
  <HLinks>
    <vt:vector size="6" baseType="variant">
      <vt:variant>
        <vt:i4>1310781</vt:i4>
      </vt:variant>
      <vt:variant>
        <vt:i4>3</vt:i4>
      </vt:variant>
      <vt:variant>
        <vt:i4>0</vt:i4>
      </vt:variant>
      <vt:variant>
        <vt:i4>5</vt:i4>
      </vt:variant>
      <vt:variant>
        <vt:lpwstr>http://www.inmetro.gov.br/inovacao/publicacoes/sistema_internacional_de_unidades_suplemento_2014-2016-Jan.pdf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Amanda Della Coletta</cp:lastModifiedBy>
  <cp:revision>2</cp:revision>
  <cp:lastPrinted>2017-02-02T15:04:00Z</cp:lastPrinted>
  <dcterms:created xsi:type="dcterms:W3CDTF">2020-12-01T14:15:00Z</dcterms:created>
  <dcterms:modified xsi:type="dcterms:W3CDTF">2020-12-01T14:15:00Z</dcterms:modified>
</cp:coreProperties>
</file>